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922" w:rsidRPr="00AF0922" w:rsidRDefault="00AF0922" w:rsidP="00B110E3">
      <w:pPr>
        <w:pStyle w:val="Title"/>
        <w:numPr>
          <w:ilvl w:val="0"/>
          <w:numId w:val="28"/>
        </w:numPr>
        <w:rPr>
          <w:rFonts w:eastAsiaTheme="minorEastAsia"/>
          <w:color w:val="5A5A5A" w:themeColor="text1" w:themeTint="A5"/>
          <w:spacing w:val="15"/>
        </w:rPr>
      </w:pPr>
      <w:r w:rsidRPr="00AF0922">
        <w:rPr>
          <w:lang w:val="en-US"/>
        </w:rPr>
        <w:t xml:space="preserve">Results of cerebral cavernous malformation surgery in patients with </w:t>
      </w:r>
      <w:proofErr w:type="spellStart"/>
      <w:r w:rsidRPr="00AF0922">
        <w:rPr>
          <w:lang w:val="en-US"/>
        </w:rPr>
        <w:t>cavernoma</w:t>
      </w:r>
      <w:proofErr w:type="spellEnd"/>
      <w:r w:rsidRPr="00AF0922">
        <w:rPr>
          <w:lang w:val="en-US"/>
        </w:rPr>
        <w:t xml:space="preserve"> associated </w:t>
      </w:r>
      <w:r>
        <w:rPr>
          <w:lang w:val="en-US"/>
        </w:rPr>
        <w:t>epilepsy</w:t>
      </w:r>
    </w:p>
    <w:p w:rsidR="00597A29" w:rsidRDefault="00AF0922" w:rsidP="00AF0922">
      <w:pPr>
        <w:pStyle w:val="Subtitle"/>
        <w:rPr>
          <w:rStyle w:val="SubtitleChar"/>
        </w:rPr>
      </w:pPr>
      <w:r w:rsidRPr="00AF0922">
        <w:rPr>
          <w:rStyle w:val="SubtitleChar"/>
        </w:rPr>
        <w:t>Dmitry Galaktionov, MD, PhD1,2*; Aleksey Sosnov, MD1; Konstantin Ovsyannikov, MD1; Elena Filimonova, MD1,2; Olga Subbotina, MD1; Evgeniya Amelina, MD, PhD1; Galina Moysak, MD, PhD1,2,3;Ekaterina Sorokoumova, MD3</w:t>
      </w:r>
    </w:p>
    <w:p w:rsidR="00AF0922" w:rsidRPr="00AF0922" w:rsidRDefault="00AF0922" w:rsidP="00AF0922"/>
    <w:p w:rsidR="00AF0922" w:rsidRPr="00AF0922" w:rsidRDefault="00AF0922" w:rsidP="00AF0922">
      <w:pPr>
        <w:pStyle w:val="NoSpacing"/>
        <w:numPr>
          <w:ilvl w:val="0"/>
          <w:numId w:val="36"/>
        </w:numPr>
        <w:rPr>
          <w:rStyle w:val="PlaceholderText"/>
          <w:color w:val="auto"/>
        </w:rPr>
      </w:pPr>
      <w:r w:rsidRPr="00AF0922">
        <w:t>Federal Neurosurgical Center, Novosibirsk, Russia</w:t>
      </w:r>
      <w:r w:rsidRPr="00AF0922">
        <w:rPr>
          <w:rStyle w:val="PlaceholderText"/>
          <w:color w:val="auto"/>
        </w:rPr>
        <w:t xml:space="preserve"> </w:t>
      </w:r>
    </w:p>
    <w:p w:rsidR="00AF0922" w:rsidRPr="00AF0922" w:rsidRDefault="00AF0922" w:rsidP="00AF0922">
      <w:pPr>
        <w:pStyle w:val="NoSpacing"/>
        <w:numPr>
          <w:ilvl w:val="0"/>
          <w:numId w:val="36"/>
        </w:numPr>
      </w:pPr>
      <w:r w:rsidRPr="00AF0922">
        <w:rPr>
          <w:rStyle w:val="Strong"/>
          <w:b w:val="0"/>
          <w:bCs w:val="0"/>
        </w:rPr>
        <w:t>Novosibirsk State Medical University,</w:t>
      </w:r>
      <w:r w:rsidRPr="00AF0922">
        <w:t xml:space="preserve"> Novosibirsk, Russia</w:t>
      </w:r>
    </w:p>
    <w:p w:rsidR="00AF0922" w:rsidRDefault="00AF0922" w:rsidP="00AF0922">
      <w:pPr>
        <w:pStyle w:val="NoSpacing"/>
        <w:numPr>
          <w:ilvl w:val="0"/>
          <w:numId w:val="36"/>
        </w:numPr>
        <w:pBdr>
          <w:bottom w:val="single" w:sz="6" w:space="1" w:color="auto"/>
        </w:pBdr>
        <w:rPr>
          <w:rStyle w:val="Strong"/>
          <w:b w:val="0"/>
          <w:bCs w:val="0"/>
        </w:rPr>
      </w:pPr>
      <w:r w:rsidRPr="00AF0922">
        <w:rPr>
          <w:rStyle w:val="Strong"/>
          <w:b w:val="0"/>
          <w:bCs w:val="0"/>
        </w:rPr>
        <w:t>Department of Neuroscience, Institute of Medicine and Psychology, Novosibirsk State University, Novosibirsk, Russia</w:t>
      </w:r>
    </w:p>
    <w:p w:rsidR="00AF0922" w:rsidRPr="00AF0922" w:rsidRDefault="00AF0922" w:rsidP="00AF0922">
      <w:pPr>
        <w:rPr>
          <w:lang w:val="sr-Latn-RS" w:eastAsia="en-US" w:bidi="ar-SA"/>
        </w:rPr>
      </w:pPr>
    </w:p>
    <w:p w:rsidR="00374AE5" w:rsidRPr="00374AE5" w:rsidRDefault="00374AE5" w:rsidP="00374AE5">
      <w:pPr>
        <w:rPr>
          <w:lang w:val="sr-Latn-RS" w:eastAsia="en-US" w:bidi="ar-SA"/>
        </w:rPr>
      </w:pPr>
    </w:p>
    <w:tbl>
      <w:tblPr>
        <w:tblStyle w:val="TableGrid"/>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646"/>
      </w:tblGrid>
      <w:tr w:rsidR="00374AE5" w:rsidRPr="00FB0DE7" w:rsidTr="00C76FCC">
        <w:trPr>
          <w:trHeight w:val="90"/>
        </w:trPr>
        <w:tc>
          <w:tcPr>
            <w:tcW w:w="10646" w:type="dxa"/>
            <w:shd w:val="clear" w:color="auto" w:fill="2E74B5" w:themeFill="accent1" w:themeFillShade="BF"/>
          </w:tcPr>
          <w:p w:rsidR="00374AE5" w:rsidRPr="00FB0DE7" w:rsidRDefault="00374AE5" w:rsidP="000726B1">
            <w:pPr>
              <w:rPr>
                <w:b/>
                <w:bCs/>
                <w:lang w:val="en-US"/>
              </w:rPr>
            </w:pPr>
            <w:r w:rsidRPr="00FB0DE7">
              <w:rPr>
                <w:b/>
                <w:bCs/>
                <w:color w:val="FFFFFF" w:themeColor="background1"/>
                <w:lang w:val="en-US"/>
              </w:rPr>
              <w:t>Abstract</w:t>
            </w:r>
          </w:p>
        </w:tc>
      </w:tr>
      <w:tr w:rsidR="00374AE5" w:rsidRPr="00FB0DE7" w:rsidTr="00C76FCC">
        <w:trPr>
          <w:trHeight w:val="2239"/>
        </w:trPr>
        <w:tc>
          <w:tcPr>
            <w:tcW w:w="10646" w:type="dxa"/>
            <w:tcBorders>
              <w:bottom w:val="single" w:sz="4" w:space="0" w:color="5B9BD5" w:themeColor="accent1"/>
            </w:tcBorders>
            <w:shd w:val="clear" w:color="auto" w:fill="DEEAF6" w:themeFill="accent1" w:themeFillTint="33"/>
          </w:tcPr>
          <w:p w:rsidR="00AF0922" w:rsidRPr="00AF0922" w:rsidRDefault="00AF0922" w:rsidP="00AF0922">
            <w:pPr>
              <w:pStyle w:val="NoSpacing"/>
            </w:pPr>
            <w:r w:rsidRPr="00AF0922">
              <w:rPr>
                <w:b/>
              </w:rPr>
              <w:t>Objective:</w:t>
            </w:r>
            <w:r w:rsidRPr="00AF0922">
              <w:t xml:space="preserve"> To evaluate the outcomes of surgical resection of cerebral cavernous malformations (CCMs) in patients with cavernoma-associated epilepsy and to identify risk factors for adverse outcomes.</w:t>
            </w:r>
          </w:p>
          <w:p w:rsidR="00AF0922" w:rsidRPr="00AF0922" w:rsidRDefault="00AF0922" w:rsidP="00AF0922">
            <w:pPr>
              <w:pStyle w:val="NoSpacing"/>
            </w:pPr>
            <w:r w:rsidRPr="00AF0922">
              <w:rPr>
                <w:b/>
              </w:rPr>
              <w:t>Methods:</w:t>
            </w:r>
            <w:r w:rsidRPr="00AF0922">
              <w:t xml:space="preserve"> A retrospective analysis was performed on 50 patients diagnosed with supratentorial CCMs who presented with epileptic seizures. CCM resection, including excision of the hemosiderin rim, was performed in all cases except those with CCMs located in eloquent brain regions. Postoperative brain MRI was performed within 24 hours and reviewed by two independent radiologists to assess the completeness of CCM and hemosiderin rim resection. Long-term outcomes were assessed using the Engel Surgical Outcome Scale.</w:t>
            </w:r>
          </w:p>
          <w:p w:rsidR="00AF0922" w:rsidRPr="00AF0922" w:rsidRDefault="00AF0922" w:rsidP="00AF0922">
            <w:pPr>
              <w:pStyle w:val="NoSpacing"/>
            </w:pPr>
            <w:r w:rsidRPr="00AF0922">
              <w:rPr>
                <w:b/>
              </w:rPr>
              <w:t>Results:</w:t>
            </w:r>
            <w:r w:rsidRPr="00AF0922">
              <w:t xml:space="preserve"> The duration of the follow-up period was 36.5/33 (21.2; 47.8) months, range:11.2-70.6 months. Forty-four patients (88%) were seizure-free postoperatively. Of these, 30 (60%) completely discontinued anticonvulsant medication. Four patients (8%) had infrequent seizures (Engel class 2), and two (4%) had no change in seizure frequency. Complete hemosiderin rim resection was significantly associated with seizure freedom (p = 0.043). Among seizure-free patients, complete hemosiderin rim resection was achieved in 27 of 38 (71%), compared with only one of five (20%) in those with unsatisfactory outcomes. Gender, age, seizure type, and CCM location did not significantly affect postoperative epilepsy outcomes.</w:t>
            </w:r>
          </w:p>
          <w:p w:rsidR="00AF0922" w:rsidRPr="00AF0922" w:rsidRDefault="00AF0922" w:rsidP="00AF0922">
            <w:pPr>
              <w:pStyle w:val="NoSpacing"/>
            </w:pPr>
            <w:r w:rsidRPr="00AF0922">
              <w:rPr>
                <w:b/>
              </w:rPr>
              <w:t>Conclusions:</w:t>
            </w:r>
            <w:r w:rsidRPr="00AF0922">
              <w:t xml:space="preserve"> Surgical resection of CCMs is an effective treatment for CCM-associated epilepsy with a low risk of surgical complications. Complete excision of the hemosiderin rim is a favorable prognostic factor for seizure control in this patient population.</w:t>
            </w:r>
          </w:p>
          <w:p w:rsidR="00374AE5" w:rsidRPr="00C76FCC" w:rsidRDefault="00374AE5" w:rsidP="00C76FCC">
            <w:pPr>
              <w:pStyle w:val="NoSpacing"/>
            </w:pPr>
          </w:p>
        </w:tc>
      </w:tr>
      <w:tr w:rsidR="00374AE5" w:rsidRPr="00FB0DE7" w:rsidTr="00C76FCC">
        <w:trPr>
          <w:trHeight w:val="90"/>
        </w:trPr>
        <w:tc>
          <w:tcPr>
            <w:tcW w:w="10646" w:type="dxa"/>
            <w:tcBorders>
              <w:top w:val="single" w:sz="4" w:space="0" w:color="5B9BD5" w:themeColor="accent1"/>
              <w:bottom w:val="single" w:sz="4" w:space="0" w:color="5B9BD5" w:themeColor="accent1"/>
            </w:tcBorders>
            <w:shd w:val="clear" w:color="auto" w:fill="DEEAF6" w:themeFill="accent1" w:themeFillTint="33"/>
          </w:tcPr>
          <w:p w:rsidR="00597A29" w:rsidRPr="00014DDB" w:rsidRDefault="00C76FCC" w:rsidP="00597A29">
            <w:pPr>
              <w:pStyle w:val="NoSpacing"/>
              <w:rPr>
                <w:lang w:val="en-US"/>
              </w:rPr>
            </w:pPr>
            <w:r w:rsidRPr="00C76FCC">
              <w:rPr>
                <w:b/>
              </w:rPr>
              <w:t>Keywords:</w:t>
            </w:r>
            <w:r w:rsidRPr="00C76FCC">
              <w:t xml:space="preserve"> </w:t>
            </w:r>
            <w:r w:rsidR="00AF0922" w:rsidRPr="00AF0922">
              <w:t>Cavernoma; Cavernous malformation; Epilepsy surgery; Seizure; Hemosiderin</w:t>
            </w:r>
          </w:p>
          <w:p w:rsidR="00374AE5" w:rsidRPr="00C76FCC" w:rsidRDefault="00374AE5" w:rsidP="00597A29">
            <w:pPr>
              <w:pStyle w:val="NoSpacing"/>
            </w:pPr>
          </w:p>
        </w:tc>
      </w:tr>
      <w:tr w:rsidR="00374AE5" w:rsidRPr="00FB0DE7" w:rsidTr="00C76FCC">
        <w:trPr>
          <w:trHeight w:val="90"/>
        </w:trPr>
        <w:tc>
          <w:tcPr>
            <w:tcW w:w="10646" w:type="dxa"/>
            <w:tcBorders>
              <w:top w:val="single" w:sz="4" w:space="0" w:color="5B9BD5" w:themeColor="accent1"/>
              <w:bottom w:val="single" w:sz="12" w:space="0" w:color="5B9BD5" w:themeColor="accent1"/>
            </w:tcBorders>
            <w:shd w:val="clear" w:color="auto" w:fill="2E74B5" w:themeFill="accent1" w:themeFillShade="BF"/>
          </w:tcPr>
          <w:p w:rsidR="00374AE5" w:rsidRPr="00FB0DE7" w:rsidRDefault="00374AE5" w:rsidP="00374AE5">
            <w:pPr>
              <w:rPr>
                <w:b/>
                <w:bCs/>
                <w:szCs w:val="20"/>
                <w:lang w:val="en-US"/>
              </w:rPr>
            </w:pPr>
            <w:r w:rsidRPr="00491ED5">
              <w:rPr>
                <w:b/>
                <w:bCs/>
                <w:color w:val="FFFFFF" w:themeColor="background1"/>
                <w:szCs w:val="20"/>
                <w:lang w:val="en-US"/>
              </w:rPr>
              <w:t xml:space="preserve">DOI: </w:t>
            </w:r>
          </w:p>
        </w:tc>
      </w:tr>
    </w:tbl>
    <w:p w:rsidR="00E549AA" w:rsidRDefault="00E549AA" w:rsidP="00E549AA">
      <w:pPr>
        <w:pStyle w:val="NoSpacing"/>
      </w:pPr>
    </w:p>
    <w:p w:rsidR="00AF0922" w:rsidRDefault="00AF0922" w:rsidP="00AF0922">
      <w:pPr>
        <w:pStyle w:val="Heading1"/>
        <w:sectPr w:rsidR="00AF0922" w:rsidSect="00E13D20">
          <w:headerReference w:type="default" r:id="rId7"/>
          <w:headerReference w:type="first" r:id="rId8"/>
          <w:pgSz w:w="11901" w:h="16817"/>
          <w:pgMar w:top="567" w:right="567" w:bottom="567" w:left="851" w:header="567" w:footer="567" w:gutter="0"/>
          <w:cols w:space="284"/>
          <w:titlePg/>
          <w:docGrid w:linePitch="360"/>
        </w:sectPr>
      </w:pPr>
    </w:p>
    <w:p w:rsidR="00AF0922" w:rsidRPr="006D09B5" w:rsidRDefault="00AF0922" w:rsidP="00AF0922">
      <w:pPr>
        <w:pStyle w:val="Heading1"/>
      </w:pPr>
      <w:r w:rsidRPr="006D09B5">
        <w:lastRenderedPageBreak/>
        <w:t>Introduction</w:t>
      </w:r>
    </w:p>
    <w:p w:rsidR="00AF0922" w:rsidRPr="00BD0825" w:rsidRDefault="00AF0922" w:rsidP="00AF0922">
      <w:pPr>
        <w:pStyle w:val="NoSpacing"/>
      </w:pPr>
      <w:r w:rsidRPr="00BD0825">
        <w:t>Cavernous malformations (CCMs) are vascular developmental anomalies characterized by clusters of endothelium-lined cavities lacking a mature vascular wall. CCMs are typically discovered incidentally on brain MRI; however, epileptic seizures are frequently the initial clinical presentation in over 25% of cases (1).</w:t>
      </w:r>
    </w:p>
    <w:p w:rsidR="00AF0922" w:rsidRPr="00BD0825" w:rsidRDefault="00AF0922" w:rsidP="00AF0922">
      <w:pPr>
        <w:pStyle w:val="NoSpacing"/>
      </w:pPr>
      <w:r w:rsidRPr="00BD0825">
        <w:t xml:space="preserve">Surgical resection of </w:t>
      </w:r>
      <w:proofErr w:type="spellStart"/>
      <w:r w:rsidRPr="00BD0825">
        <w:t>supratentorial</w:t>
      </w:r>
      <w:proofErr w:type="spellEnd"/>
      <w:r w:rsidRPr="00BD0825">
        <w:t xml:space="preserve"> CCMs is routinely performed by both experienced and novice neurosurgeons due to the relative ease of resection, attributed to well-defined anatomical boundaries and low vascularity. The primary challenge lies in determining appropriate surgical indications and the extent of surgical intervention. Currently, there is no clearly established consensus regarding the optimal timing of surgery. According to the International League Against Epilepsy (ILAE) clinical practice recommendations, </w:t>
      </w:r>
      <w:proofErr w:type="spellStart"/>
      <w:r w:rsidRPr="00BD0825">
        <w:t>pharmacoresistant</w:t>
      </w:r>
      <w:proofErr w:type="spellEnd"/>
      <w:r w:rsidRPr="00BD0825">
        <w:t xml:space="preserve"> </w:t>
      </w:r>
      <w:proofErr w:type="spellStart"/>
      <w:r w:rsidRPr="00BD0825">
        <w:t>cavernoma</w:t>
      </w:r>
      <w:proofErr w:type="spellEnd"/>
      <w:r w:rsidRPr="00BD0825">
        <w:t xml:space="preserve">-associated structural epilepsy is an absolute indication for surgical intervention (1). However, some surgeons advocate for earlier microsurgical resection (2). </w:t>
      </w:r>
      <w:r w:rsidRPr="00BD0825">
        <w:lastRenderedPageBreak/>
        <w:t xml:space="preserve">The extent of excision during surgery remains debated. In cases of </w:t>
      </w:r>
      <w:proofErr w:type="spellStart"/>
      <w:r w:rsidRPr="00BD0825">
        <w:t>cavernoma</w:t>
      </w:r>
      <w:proofErr w:type="spellEnd"/>
      <w:r w:rsidRPr="00BD0825">
        <w:t xml:space="preserve">-associated structural epilepsy, various resection volumes and strategies have been described. These include isolated CCM resection, resection of the CCM with the adjacent hemosiderin rim, and, when the CCM is located in the temporal lobe, a combined approach involving CCM resection with </w:t>
      </w:r>
      <w:proofErr w:type="spellStart"/>
      <w:r w:rsidRPr="00BD0825">
        <w:t>amygdalohippocampectomy</w:t>
      </w:r>
      <w:proofErr w:type="spellEnd"/>
      <w:r w:rsidRPr="00BD0825">
        <w:t xml:space="preserve"> or extended temporal lobe resection (1, 3–9). Different surgical timings and extents have been proposed based on identified risk factors, complications, and predictors of adverse outcomes. In this paper, we present our study findings on surgical treatment outcomes for CCMs in patients with a history of seizures. We assessed both short-term and long-term results, as well as risk factors for adverse outcomes following microsurgical procedures.</w:t>
      </w:r>
    </w:p>
    <w:p w:rsidR="00AF0922" w:rsidRDefault="00AF0922" w:rsidP="00AF0922">
      <w:pPr>
        <w:tabs>
          <w:tab w:val="left" w:pos="2400"/>
        </w:tabs>
        <w:spacing w:line="360" w:lineRule="auto"/>
        <w:jc w:val="both"/>
        <w:rPr>
          <w:rFonts w:eastAsiaTheme="minorEastAsia"/>
          <w:lang w:val="en-US"/>
        </w:rPr>
      </w:pPr>
      <w:r>
        <w:rPr>
          <w:rFonts w:eastAsiaTheme="minorEastAsia"/>
          <w:lang w:val="en-US"/>
        </w:rPr>
        <w:tab/>
      </w:r>
    </w:p>
    <w:p w:rsidR="00AF0922" w:rsidRPr="006D09B5" w:rsidRDefault="00AF0922" w:rsidP="00AF0922">
      <w:pPr>
        <w:pStyle w:val="Heading1"/>
      </w:pPr>
      <w:r w:rsidRPr="006D09B5">
        <w:t>Materials and methods</w:t>
      </w:r>
    </w:p>
    <w:p w:rsidR="00AF0922" w:rsidRDefault="00AF0922" w:rsidP="00AF0922">
      <w:pPr>
        <w:pStyle w:val="NoSpacing"/>
      </w:pPr>
      <w:r w:rsidRPr="00BD0825">
        <w:t xml:space="preserve">This study evaluated treatment outcomes in 50 of 60 patients who underwent surgery for CCMs with epileptic seizures between 2014 and 2020. Ten patients were excluded from the </w:t>
      </w:r>
      <w:r w:rsidRPr="00BD0825">
        <w:lastRenderedPageBreak/>
        <w:t xml:space="preserve">study due to loss to follow-up. The cohort included patients with sporadic seizures (up to two seizures) and those with structural epilepsy (three or more seizures). All patients underwent preoperative electroencephalography (EEG), supplemented by </w:t>
      </w:r>
      <w:proofErr w:type="spellStart"/>
      <w:r w:rsidRPr="00BD0825">
        <w:t>ictal</w:t>
      </w:r>
      <w:proofErr w:type="spellEnd"/>
      <w:r w:rsidRPr="00BD0825">
        <w:t xml:space="preserve"> video-EEG when clinically indicated. Preoperative magnetic resonance imaging (MRI) and neurological examination were also performed.</w:t>
      </w:r>
      <w:r>
        <w:t xml:space="preserve"> </w:t>
      </w:r>
    </w:p>
    <w:p w:rsidR="00AF0922" w:rsidRDefault="00AF0922" w:rsidP="00AF0922">
      <w:pPr>
        <w:pStyle w:val="NoSpacing"/>
      </w:pPr>
      <w:r w:rsidRPr="00BD0825">
        <w:t xml:space="preserve">During surgery, the surgeon aimed to </w:t>
      </w:r>
      <w:proofErr w:type="spellStart"/>
      <w:r w:rsidRPr="00BD0825">
        <w:t>resect</w:t>
      </w:r>
      <w:proofErr w:type="spellEnd"/>
      <w:r w:rsidRPr="00BD0825">
        <w:t xml:space="preserve"> the CCM and the surrounding hemosiderin rim (visible as yellow or </w:t>
      </w:r>
      <w:proofErr w:type="spellStart"/>
      <w:r w:rsidRPr="00BD0825">
        <w:t>gliotic</w:t>
      </w:r>
      <w:proofErr w:type="spellEnd"/>
      <w:r w:rsidRPr="00BD0825">
        <w:t xml:space="preserve"> tissue), unless the CCM was located in an eloquent brain region. All procedures were performed using a surgical microscope and frameless stereotactic </w:t>
      </w:r>
      <w:proofErr w:type="spellStart"/>
      <w:r w:rsidRPr="00BD0825">
        <w:t>neuronavigation</w:t>
      </w:r>
      <w:proofErr w:type="spellEnd"/>
      <w:r w:rsidRPr="00BD0825">
        <w:t xml:space="preserve">, with intraoperative ultrasonography used as needed. </w:t>
      </w:r>
    </w:p>
    <w:p w:rsidR="00AF0922" w:rsidRDefault="00AF0922" w:rsidP="00AF0922">
      <w:pPr>
        <w:pStyle w:val="NoSpacing"/>
      </w:pPr>
      <w:r w:rsidRPr="00BD0825">
        <w:t>Postoperative brain MRI was routinely performed within 24 hours to assess the completeness of resection.</w:t>
      </w:r>
      <w:r>
        <w:t xml:space="preserve"> </w:t>
      </w:r>
      <w:r w:rsidRPr="00BD0825">
        <w:t>Brain MRI was performed using 1.5 and 3 Tesla MR systems according to a standard protocol. Images were reviewed by two independent radiologists.</w:t>
      </w:r>
    </w:p>
    <w:p w:rsidR="00AF0922" w:rsidRPr="00BD0825" w:rsidRDefault="00AF0922" w:rsidP="00AF0922">
      <w:pPr>
        <w:pStyle w:val="NoSpacing"/>
      </w:pPr>
      <w:r w:rsidRPr="00BD0825">
        <w:t xml:space="preserve">Postoperatively, all patients received anticonvulsant medication under the supervision of a clinical </w:t>
      </w:r>
      <w:proofErr w:type="spellStart"/>
      <w:r w:rsidRPr="00BD0825">
        <w:t>epileptologist</w:t>
      </w:r>
      <w:proofErr w:type="spellEnd"/>
      <w:r w:rsidRPr="00BD0825">
        <w:t xml:space="preserve">. Patients were typically discharged within 4–6 days postoperatively and remained under the care of an </w:t>
      </w:r>
      <w:proofErr w:type="spellStart"/>
      <w:r w:rsidRPr="00BD0825">
        <w:t>epileptologist</w:t>
      </w:r>
      <w:proofErr w:type="spellEnd"/>
      <w:r w:rsidRPr="00BD0825">
        <w:t>, with consideration for antiepileptic medication tapering no sooner than six months after surgery.</w:t>
      </w:r>
    </w:p>
    <w:p w:rsidR="00AF0922" w:rsidRPr="00BD0825" w:rsidRDefault="00AF0922" w:rsidP="00AF0922">
      <w:pPr>
        <w:pStyle w:val="NoSpacing"/>
        <w:rPr>
          <w:b/>
        </w:rPr>
      </w:pPr>
      <w:r w:rsidRPr="00BD0825">
        <w:t xml:space="preserve">Long-term outcomes were assessed via in-person clinic visits or telephone interviews. Surgical effectiveness for epilepsy was evaluated using the Engel Surgical Outcome Scale. Due to limited sample size, Engel class subgroups were not analyzed separately. Patients with Engel class </w:t>
      </w:r>
      <w:r>
        <w:t>1</w:t>
      </w:r>
      <w:r w:rsidRPr="00BD0825">
        <w:t xml:space="preserve"> outcomes were categorized as having satisfactory outcomes, while those with Engel classes </w:t>
      </w:r>
      <w:r>
        <w:t xml:space="preserve">2 </w:t>
      </w:r>
      <w:r w:rsidRPr="00BD0825">
        <w:t>–</w:t>
      </w:r>
      <w:r>
        <w:t xml:space="preserve"> 4</w:t>
      </w:r>
      <w:r w:rsidRPr="00BD0825">
        <w:t xml:space="preserve"> were categorized as having unsatisfactory outcomes.</w:t>
      </w:r>
    </w:p>
    <w:p w:rsidR="00AF0922" w:rsidRPr="006D09B5" w:rsidRDefault="00AF0922" w:rsidP="00AF0922">
      <w:pPr>
        <w:pStyle w:val="Heading1"/>
        <w:rPr>
          <w:lang w:val="en-US"/>
        </w:rPr>
      </w:pPr>
      <w:r w:rsidRPr="006D09B5">
        <w:rPr>
          <w:lang w:val="en-US"/>
        </w:rPr>
        <w:t>Statistical analysis</w:t>
      </w:r>
    </w:p>
    <w:p w:rsidR="00AF0922" w:rsidRPr="006D09B5" w:rsidRDefault="00AF0922" w:rsidP="00AF0922">
      <w:pPr>
        <w:pStyle w:val="NoSpacing"/>
      </w:pPr>
      <w:r w:rsidRPr="006D09B5">
        <w:t xml:space="preserve">Since most of the data were not normally distributed, the following format was used to describe the numerical data: </w:t>
      </w:r>
      <w:r w:rsidRPr="006D09B5">
        <w:lastRenderedPageBreak/>
        <w:t xml:space="preserve">M/Me (Q1; Q3), where M is the arithmetic mean, </w:t>
      </w:r>
      <w:proofErr w:type="gramStart"/>
      <w:r w:rsidRPr="006D09B5">
        <w:t>Me</w:t>
      </w:r>
      <w:proofErr w:type="gramEnd"/>
      <w:r w:rsidRPr="006D09B5">
        <w:t xml:space="preserve"> is the median, Q1 and Q3 are the</w:t>
      </w:r>
      <w:r>
        <w:t xml:space="preserve"> first and third quartiles. </w:t>
      </w:r>
      <w:r w:rsidRPr="00BD0825">
        <w:t xml:space="preserve">Group comparisons were conducted using the two-tailed Fisher's exact test and the two-tailed Mann–Whitney </w:t>
      </w:r>
      <w:r w:rsidRPr="00BD0825">
        <w:rPr>
          <w:i/>
          <w:iCs/>
        </w:rPr>
        <w:t>U</w:t>
      </w:r>
      <w:r w:rsidRPr="00BD0825">
        <w:t xml:space="preserve"> test</w:t>
      </w:r>
      <w:r>
        <w:t xml:space="preserve">, </w:t>
      </w:r>
      <w:r w:rsidRPr="00BD0825">
        <w:t xml:space="preserve">with statistical significance set at </w:t>
      </w:r>
      <w:r w:rsidRPr="00BD0825">
        <w:rPr>
          <w:i/>
          <w:iCs/>
        </w:rPr>
        <w:t>p</w:t>
      </w:r>
      <w:r w:rsidRPr="00BD0825">
        <w:t xml:space="preserve"> &lt; 0.05</w:t>
      </w:r>
      <w:r>
        <w:t>.</w:t>
      </w:r>
      <w:r w:rsidRPr="00BD0825">
        <w:t xml:space="preserve"> </w:t>
      </w:r>
      <w:r w:rsidRPr="00BB77E5">
        <w:t>Statistical analyses were performed using R Statistical Software (version 4.3.1) (10).</w:t>
      </w:r>
    </w:p>
    <w:p w:rsidR="00AF0922" w:rsidRPr="006D09B5" w:rsidRDefault="00AF0922" w:rsidP="00AF0922">
      <w:pPr>
        <w:pStyle w:val="Heading1"/>
      </w:pPr>
      <w:r w:rsidRPr="006D09B5">
        <w:t>Results</w:t>
      </w:r>
    </w:p>
    <w:p w:rsidR="00AF0922" w:rsidRPr="006D09B5" w:rsidRDefault="00AF0922" w:rsidP="00AF0922">
      <w:pPr>
        <w:pStyle w:val="Heading2"/>
        <w:rPr>
          <w:lang w:val="en-US"/>
        </w:rPr>
      </w:pPr>
      <w:r w:rsidRPr="006D09B5">
        <w:rPr>
          <w:lang w:val="en-US"/>
        </w:rPr>
        <w:t>Postoperative seizure control</w:t>
      </w:r>
    </w:p>
    <w:p w:rsidR="00AF0922" w:rsidRPr="00BD0825" w:rsidRDefault="00AF0922" w:rsidP="00AF0922">
      <w:pPr>
        <w:pStyle w:val="NoSpacing"/>
      </w:pPr>
      <w:r>
        <w:t>L</w:t>
      </w:r>
      <w:r w:rsidRPr="006D09B5">
        <w:t xml:space="preserve">ong-term </w:t>
      </w:r>
      <w:r>
        <w:t>outcomes</w:t>
      </w:r>
      <w:r w:rsidRPr="006D09B5">
        <w:t xml:space="preserve"> were evaluated in 50</w:t>
      </w:r>
      <w:r>
        <w:t xml:space="preserve"> of 60 patients</w:t>
      </w:r>
      <w:r w:rsidRPr="006D09B5">
        <w:t xml:space="preserve"> (83.3%). The follow-up </w:t>
      </w:r>
      <w:r>
        <w:t>duration was</w:t>
      </w:r>
      <w:r w:rsidRPr="006D09B5">
        <w:t xml:space="preserve"> 36.5/33 (21.2; 47.8) months (</w:t>
      </w:r>
      <w:r>
        <w:t>range: 11.2 -</w:t>
      </w:r>
      <w:r w:rsidRPr="006D09B5">
        <w:t xml:space="preserve"> 70.6 months). </w:t>
      </w:r>
      <w:r w:rsidRPr="00BD0825">
        <w:t>During the follow-up period, 44 patients (88%) remained seizure-free. Of these, 30 patients (60%) were able to discontinue anticonvulsant medication completely. Four patients (8%) experienced infrequent seizures (Engel class II), and two patients (4%) reported no reduction in seizure frequency.</w:t>
      </w:r>
    </w:p>
    <w:p w:rsidR="00AF0922" w:rsidRPr="006D09B5" w:rsidRDefault="00AF0922" w:rsidP="00AF0922">
      <w:pPr>
        <w:pStyle w:val="Heading2"/>
        <w:rPr>
          <w:lang w:val="en-US"/>
        </w:rPr>
      </w:pPr>
      <w:r w:rsidRPr="006D09B5">
        <w:rPr>
          <w:lang w:val="en-US"/>
        </w:rPr>
        <w:t>Demographic distribution</w:t>
      </w:r>
    </w:p>
    <w:p w:rsidR="00AF0922" w:rsidRPr="006D09B5" w:rsidRDefault="00AF0922" w:rsidP="00AF0922">
      <w:pPr>
        <w:pStyle w:val="NoSpacing"/>
      </w:pPr>
      <w:r>
        <w:t>O</w:t>
      </w:r>
      <w:r w:rsidRPr="006D09B5">
        <w:t xml:space="preserve">f </w:t>
      </w:r>
      <w:r>
        <w:t xml:space="preserve">the </w:t>
      </w:r>
      <w:r w:rsidRPr="006D09B5">
        <w:t xml:space="preserve">50 patients included in </w:t>
      </w:r>
      <w:r>
        <w:t>this</w:t>
      </w:r>
      <w:r w:rsidRPr="006D09B5">
        <w:t xml:space="preserve"> study, 27</w:t>
      </w:r>
      <w:r>
        <w:t xml:space="preserve"> </w:t>
      </w:r>
      <w:r w:rsidRPr="006D09B5">
        <w:t>(54%) were male. The</w:t>
      </w:r>
      <w:r>
        <w:t xml:space="preserve"> </w:t>
      </w:r>
      <w:r w:rsidRPr="006D09B5">
        <w:t>age of the patients at the time of surgery was 41/38 (32.2; 48.5) years</w:t>
      </w:r>
      <w:r>
        <w:t xml:space="preserve"> (range: </w:t>
      </w:r>
      <w:r w:rsidRPr="006D09B5">
        <w:t>19</w:t>
      </w:r>
      <w:r>
        <w:t xml:space="preserve"> </w:t>
      </w:r>
      <w:r w:rsidRPr="006D09B5">
        <w:t>-</w:t>
      </w:r>
      <w:r>
        <w:t xml:space="preserve"> </w:t>
      </w:r>
      <w:r w:rsidRPr="006D09B5">
        <w:t>70 years</w:t>
      </w:r>
      <w:r>
        <w:t xml:space="preserve"> old)</w:t>
      </w:r>
      <w:r w:rsidRPr="006D09B5">
        <w:t xml:space="preserve">. No statistically significant association was found between demographic factors and </w:t>
      </w:r>
      <w:r w:rsidRPr="00A871C0">
        <w:t xml:space="preserve">intervention outcomes </w:t>
      </w:r>
      <w:r w:rsidRPr="006D09B5">
        <w:t>(Table 1).</w:t>
      </w:r>
    </w:p>
    <w:p w:rsidR="00AF0922" w:rsidRPr="006D09B5" w:rsidRDefault="00AF0922" w:rsidP="00AF0922">
      <w:pPr>
        <w:pStyle w:val="Heading2"/>
        <w:rPr>
          <w:rFonts w:eastAsiaTheme="minorEastAsia"/>
        </w:rPr>
      </w:pPr>
      <w:r w:rsidRPr="006D09B5">
        <w:rPr>
          <w:rFonts w:eastAsiaTheme="minorEastAsia"/>
        </w:rPr>
        <w:t>Clinical data</w:t>
      </w:r>
    </w:p>
    <w:p w:rsidR="00AF0922" w:rsidRDefault="00AF0922" w:rsidP="00AF0922">
      <w:pPr>
        <w:pStyle w:val="NoSpacing"/>
      </w:pPr>
      <w:r w:rsidRPr="006D09B5">
        <w:t>The duration of the disease before surgery ranged from 1 to 437 months</w:t>
      </w:r>
      <w:r>
        <w:t>. The mean/median</w:t>
      </w:r>
      <w:r w:rsidRPr="006D09B5">
        <w:t xml:space="preserve"> </w:t>
      </w:r>
      <w:r>
        <w:t xml:space="preserve">duration was </w:t>
      </w:r>
      <w:r w:rsidRPr="006D09B5">
        <w:t xml:space="preserve">83.4/24 (8.2; 144) months. </w:t>
      </w:r>
      <w:r>
        <w:t>I</w:t>
      </w:r>
      <w:r w:rsidRPr="006D09B5">
        <w:t xml:space="preserve">n the Engel </w:t>
      </w:r>
      <w:r>
        <w:t xml:space="preserve">class </w:t>
      </w:r>
      <w:r w:rsidRPr="006D09B5">
        <w:t>1 group</w:t>
      </w:r>
      <w:r>
        <w:t>, the median duration</w:t>
      </w:r>
      <w:r w:rsidRPr="006D09B5">
        <w:t xml:space="preserve"> was 13.5 </w:t>
      </w:r>
      <w:r>
        <w:t xml:space="preserve">months </w:t>
      </w:r>
      <w:r w:rsidRPr="006D09B5">
        <w:t>(7; 144),</w:t>
      </w:r>
      <w:r>
        <w:t xml:space="preserve"> while</w:t>
      </w:r>
      <w:r w:rsidRPr="006D09B5">
        <w:t xml:space="preserve"> in the Engel </w:t>
      </w:r>
      <w:r>
        <w:t xml:space="preserve">classes </w:t>
      </w:r>
      <w:r w:rsidRPr="006D09B5">
        <w:t>2-4 group</w:t>
      </w:r>
      <w:r>
        <w:t>, it was</w:t>
      </w:r>
      <w:r w:rsidRPr="006D09B5">
        <w:t xml:space="preserve"> </w:t>
      </w:r>
      <w:r>
        <w:t>108 months (90; 144)</w:t>
      </w:r>
      <w:r w:rsidRPr="006D09B5">
        <w:t xml:space="preserve">. </w:t>
      </w:r>
      <w:r w:rsidRPr="00F1403B">
        <w:t>Although no statistically significant difference was observed between these groups (</w:t>
      </w:r>
      <w:r w:rsidRPr="00F1403B">
        <w:rPr>
          <w:i/>
          <w:iCs/>
        </w:rPr>
        <w:t>p</w:t>
      </w:r>
      <w:r w:rsidRPr="00F1403B">
        <w:t xml:space="preserve"> = 0.1) (Table 1), earlier intervention appears to be associated with a more favorable outcome.</w:t>
      </w:r>
      <w:r>
        <w:t xml:space="preserve"> </w:t>
      </w:r>
    </w:p>
    <w:p w:rsidR="00AF0922" w:rsidRPr="00F1403B" w:rsidRDefault="00AF0922" w:rsidP="00AF0922">
      <w:pPr>
        <w:pStyle w:val="NoSpacing"/>
      </w:pPr>
      <w:r w:rsidRPr="00F1403B">
        <w:t>Rare episodic seizures (up to three) occurred in 13 patients (26%), epilepsy was present in 36 patients (72%), and one patient (2%) presented with status epilepticus.</w:t>
      </w:r>
    </w:p>
    <w:p w:rsidR="00AF0922" w:rsidRDefault="00AF0922" w:rsidP="00AF0922">
      <w:pPr>
        <w:spacing w:line="360" w:lineRule="auto"/>
        <w:jc w:val="both"/>
        <w:rPr>
          <w:rFonts w:eastAsiaTheme="minorEastAsia"/>
          <w:lang w:val="en-US"/>
        </w:rPr>
        <w:sectPr w:rsidR="00AF0922" w:rsidSect="00AF0922">
          <w:type w:val="continuous"/>
          <w:pgSz w:w="11901" w:h="16817"/>
          <w:pgMar w:top="567" w:right="567" w:bottom="567" w:left="851" w:header="567" w:footer="567" w:gutter="0"/>
          <w:cols w:num="2" w:space="284"/>
          <w:titlePg/>
          <w:docGrid w:linePitch="360"/>
        </w:sectPr>
      </w:pPr>
    </w:p>
    <w:p w:rsidR="0045789A" w:rsidRDefault="0045789A" w:rsidP="00AF0922">
      <w:pPr>
        <w:spacing w:line="360" w:lineRule="auto"/>
        <w:jc w:val="both"/>
        <w:rPr>
          <w:rFonts w:eastAsiaTheme="minorEastAsia"/>
          <w:lang w:val="en-US"/>
        </w:rPr>
      </w:pPr>
    </w:p>
    <w:p w:rsidR="00AF0922" w:rsidRPr="006D09B5" w:rsidRDefault="00AF0922" w:rsidP="00AF0922">
      <w:pPr>
        <w:spacing w:line="360" w:lineRule="auto"/>
        <w:jc w:val="both"/>
        <w:rPr>
          <w:rFonts w:eastAsiaTheme="minorEastAsia"/>
          <w:b/>
          <w:bCs/>
          <w:lang w:val="en-US"/>
        </w:rPr>
      </w:pPr>
      <w:r w:rsidRPr="006D09B5">
        <w:rPr>
          <w:rFonts w:eastAsiaTheme="minorEastAsia"/>
          <w:lang w:val="en-US"/>
        </w:rPr>
        <w:t xml:space="preserve">Table 1. Demographic and </w:t>
      </w:r>
      <w:r>
        <w:rPr>
          <w:rFonts w:eastAsiaTheme="minorEastAsia"/>
          <w:lang w:val="en-US"/>
        </w:rPr>
        <w:t>C</w:t>
      </w:r>
      <w:r w:rsidRPr="006D09B5">
        <w:rPr>
          <w:rFonts w:eastAsiaTheme="minorEastAsia"/>
          <w:lang w:val="en-US"/>
        </w:rPr>
        <w:t xml:space="preserve">linical </w:t>
      </w:r>
      <w:r>
        <w:rPr>
          <w:rFonts w:eastAsiaTheme="minorEastAsia"/>
          <w:lang w:val="en-US"/>
        </w:rPr>
        <w:t>C</w:t>
      </w:r>
      <w:r w:rsidRPr="006D09B5">
        <w:rPr>
          <w:rFonts w:eastAsiaTheme="minorEastAsia"/>
          <w:lang w:val="en-US"/>
        </w:rPr>
        <w:t xml:space="preserve">haracteristics of </w:t>
      </w:r>
      <w:r>
        <w:rPr>
          <w:rFonts w:eastAsiaTheme="minorEastAsia"/>
          <w:lang w:val="en-US"/>
        </w:rPr>
        <w:t>P</w:t>
      </w:r>
      <w:r w:rsidRPr="006D09B5">
        <w:rPr>
          <w:rFonts w:eastAsiaTheme="minorEastAsia"/>
          <w:lang w:val="en-US"/>
        </w:rPr>
        <w:t>atients</w:t>
      </w:r>
    </w:p>
    <w:tbl>
      <w:tblPr>
        <w:tblStyle w:val="-511"/>
        <w:tblpPr w:leftFromText="180" w:rightFromText="180" w:vertAnchor="text" w:horzAnchor="margin" w:tblpY="-42"/>
        <w:tblW w:w="0" w:type="auto"/>
        <w:tblLook w:val="04A0" w:firstRow="1" w:lastRow="0" w:firstColumn="1" w:lastColumn="0" w:noHBand="0" w:noVBand="1"/>
      </w:tblPr>
      <w:tblGrid>
        <w:gridCol w:w="990"/>
        <w:gridCol w:w="2789"/>
        <w:gridCol w:w="1608"/>
        <w:gridCol w:w="1517"/>
        <w:gridCol w:w="1678"/>
        <w:gridCol w:w="1027"/>
      </w:tblGrid>
      <w:tr w:rsidR="00AF0922" w:rsidRPr="006D09B5" w:rsidTr="00E57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9" w:type="dxa"/>
            <w:gridSpan w:val="2"/>
            <w:vAlign w:val="center"/>
          </w:tcPr>
          <w:p w:rsidR="00AF0922" w:rsidRPr="006D09B5" w:rsidRDefault="00AF0922" w:rsidP="00E57850">
            <w:pPr>
              <w:spacing w:line="360" w:lineRule="auto"/>
              <w:jc w:val="center"/>
              <w:rPr>
                <w:rFonts w:eastAsiaTheme="minorEastAsia"/>
                <w:lang w:val="en-US"/>
              </w:rPr>
            </w:pPr>
            <w:r w:rsidRPr="006D09B5">
              <w:rPr>
                <w:rFonts w:eastAsiaTheme="minorEastAsia"/>
                <w:lang w:val="en-US"/>
              </w:rPr>
              <w:t>Category</w:t>
            </w:r>
          </w:p>
        </w:tc>
        <w:tc>
          <w:tcPr>
            <w:tcW w:w="1608" w:type="dxa"/>
            <w:vAlign w:val="center"/>
          </w:tcPr>
          <w:p w:rsidR="00AF0922" w:rsidRPr="00166F25" w:rsidRDefault="00AF0922" w:rsidP="00E57850">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Total</w:t>
            </w:r>
            <w:r>
              <w:rPr>
                <w:rFonts w:eastAsiaTheme="minorEastAsia"/>
              </w:rPr>
              <w:t xml:space="preserve"> (</w:t>
            </w:r>
            <w:r>
              <w:rPr>
                <w:rFonts w:eastAsiaTheme="minorEastAsia"/>
                <w:lang w:val="en-US"/>
              </w:rPr>
              <w:t>n=50)</w:t>
            </w:r>
          </w:p>
        </w:tc>
        <w:tc>
          <w:tcPr>
            <w:tcW w:w="1517" w:type="dxa"/>
            <w:vAlign w:val="center"/>
          </w:tcPr>
          <w:p w:rsidR="00AF0922" w:rsidRPr="006D09B5" w:rsidRDefault="00AF0922" w:rsidP="00E57850">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 xml:space="preserve">Engel </w:t>
            </w:r>
            <w:r>
              <w:rPr>
                <w:rFonts w:eastAsiaTheme="minorEastAsia"/>
                <w:lang w:val="en-US"/>
              </w:rPr>
              <w:t xml:space="preserve">Class </w:t>
            </w:r>
            <w:r w:rsidRPr="006D09B5">
              <w:rPr>
                <w:rFonts w:eastAsiaTheme="minorEastAsia"/>
                <w:lang w:val="en-US"/>
              </w:rPr>
              <w:t>1</w:t>
            </w:r>
            <w:r>
              <w:rPr>
                <w:rFonts w:eastAsiaTheme="minorEastAsia"/>
                <w:lang w:val="en-US"/>
              </w:rPr>
              <w:t xml:space="preserve"> (n=44)</w:t>
            </w:r>
          </w:p>
        </w:tc>
        <w:tc>
          <w:tcPr>
            <w:tcW w:w="1678" w:type="dxa"/>
            <w:vAlign w:val="center"/>
          </w:tcPr>
          <w:p w:rsidR="00AF0922" w:rsidRPr="006D09B5" w:rsidRDefault="00AF0922" w:rsidP="00E57850">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 xml:space="preserve">Engel </w:t>
            </w:r>
            <w:r>
              <w:rPr>
                <w:rFonts w:eastAsiaTheme="minorEastAsia"/>
                <w:lang w:val="en-US"/>
              </w:rPr>
              <w:t xml:space="preserve">Classes </w:t>
            </w:r>
            <w:r w:rsidRPr="006D09B5">
              <w:rPr>
                <w:rFonts w:eastAsiaTheme="minorEastAsia"/>
                <w:lang w:val="en-US"/>
              </w:rPr>
              <w:t>2-4</w:t>
            </w:r>
            <w:r>
              <w:rPr>
                <w:rFonts w:eastAsiaTheme="minorEastAsia"/>
                <w:lang w:val="en-US"/>
              </w:rPr>
              <w:t xml:space="preserve"> (n=6)</w:t>
            </w:r>
          </w:p>
        </w:tc>
        <w:tc>
          <w:tcPr>
            <w:tcW w:w="0" w:type="auto"/>
            <w:vAlign w:val="center"/>
          </w:tcPr>
          <w:p w:rsidR="00AF0922" w:rsidRPr="006D09B5" w:rsidRDefault="00AF0922" w:rsidP="00E57850">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p-value</w:t>
            </w: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val="restart"/>
            <w:vAlign w:val="center"/>
          </w:tcPr>
          <w:p w:rsidR="00AF0922" w:rsidRPr="006D09B5" w:rsidRDefault="00AF0922" w:rsidP="00E57850">
            <w:pPr>
              <w:spacing w:line="360" w:lineRule="auto"/>
              <w:jc w:val="center"/>
              <w:rPr>
                <w:rFonts w:eastAsiaTheme="minorEastAsia"/>
                <w:lang w:val="en-US"/>
              </w:rPr>
            </w:pPr>
            <w:r w:rsidRPr="006D09B5">
              <w:rPr>
                <w:rFonts w:eastAsiaTheme="minorEastAsia"/>
                <w:lang w:val="en-US"/>
              </w:rPr>
              <w:t>Gender</w:t>
            </w:r>
          </w:p>
        </w:tc>
        <w:tc>
          <w:tcPr>
            <w:tcW w:w="2789"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US"/>
              </w:rPr>
            </w:pPr>
            <w:r w:rsidRPr="006D09B5">
              <w:rPr>
                <w:rFonts w:eastAsiaTheme="minorEastAsia"/>
                <w:lang w:val="en-US"/>
              </w:rPr>
              <w:t>Male</w:t>
            </w:r>
          </w:p>
        </w:tc>
        <w:tc>
          <w:tcPr>
            <w:tcW w:w="1608"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27</w:t>
            </w:r>
            <w:r>
              <w:rPr>
                <w:rFonts w:eastAsiaTheme="minorEastAsia"/>
                <w:lang w:val="en-US"/>
              </w:rPr>
              <w:t xml:space="preserve"> (54%)</w:t>
            </w:r>
          </w:p>
        </w:tc>
        <w:tc>
          <w:tcPr>
            <w:tcW w:w="1517"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25</w:t>
            </w:r>
            <w:r>
              <w:rPr>
                <w:rFonts w:eastAsiaTheme="minorEastAsia"/>
                <w:lang w:val="en-US"/>
              </w:rPr>
              <w:t xml:space="preserve"> (56.8%)</w:t>
            </w:r>
          </w:p>
        </w:tc>
        <w:tc>
          <w:tcPr>
            <w:tcW w:w="1678"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w:t>
            </w:r>
            <w:r>
              <w:rPr>
                <w:rFonts w:eastAsiaTheme="minorEastAsia"/>
                <w:lang w:val="en-US"/>
              </w:rPr>
              <w:t xml:space="preserve"> (33.3%)</w:t>
            </w:r>
          </w:p>
        </w:tc>
        <w:tc>
          <w:tcPr>
            <w:tcW w:w="0" w:type="auto"/>
            <w:vMerge w:val="restart"/>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0.395</w:t>
            </w: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990" w:type="dxa"/>
            <w:vMerge/>
            <w:vAlign w:val="center"/>
          </w:tcPr>
          <w:p w:rsidR="00AF0922" w:rsidRPr="006D09B5" w:rsidRDefault="00AF0922" w:rsidP="00E57850">
            <w:pPr>
              <w:spacing w:line="360" w:lineRule="auto"/>
              <w:jc w:val="center"/>
              <w:rPr>
                <w:rFonts w:eastAsiaTheme="minorEastAsia"/>
                <w:lang w:val="en-US"/>
              </w:rPr>
            </w:pPr>
          </w:p>
        </w:tc>
        <w:tc>
          <w:tcPr>
            <w:tcW w:w="2789"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US"/>
              </w:rPr>
            </w:pPr>
            <w:r w:rsidRPr="006D09B5">
              <w:rPr>
                <w:rFonts w:eastAsiaTheme="minorEastAsia"/>
                <w:lang w:val="en-US"/>
              </w:rPr>
              <w:t>Female</w:t>
            </w:r>
          </w:p>
        </w:tc>
        <w:tc>
          <w:tcPr>
            <w:tcW w:w="1608"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23</w:t>
            </w:r>
            <w:r>
              <w:rPr>
                <w:rFonts w:eastAsiaTheme="minorEastAsia"/>
                <w:lang w:val="en-US"/>
              </w:rPr>
              <w:t xml:space="preserve"> (46%)</w:t>
            </w:r>
          </w:p>
        </w:tc>
        <w:tc>
          <w:tcPr>
            <w:tcW w:w="1517"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19</w:t>
            </w:r>
            <w:r>
              <w:rPr>
                <w:rFonts w:eastAsiaTheme="minorEastAsia"/>
                <w:lang w:val="en-US"/>
              </w:rPr>
              <w:t xml:space="preserve"> (43.2%)</w:t>
            </w:r>
          </w:p>
        </w:tc>
        <w:tc>
          <w:tcPr>
            <w:tcW w:w="1678"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4</w:t>
            </w:r>
            <w:r>
              <w:rPr>
                <w:rFonts w:eastAsiaTheme="minorEastAsia"/>
                <w:lang w:val="en-US"/>
              </w:rPr>
              <w:t xml:space="preserve"> (66.7%)</w:t>
            </w:r>
          </w:p>
        </w:tc>
        <w:tc>
          <w:tcPr>
            <w:tcW w:w="0" w:type="auto"/>
            <w:vMerge/>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9" w:type="dxa"/>
            <w:gridSpan w:val="2"/>
            <w:vAlign w:val="center"/>
          </w:tcPr>
          <w:p w:rsidR="00AF0922" w:rsidRPr="006D09B5" w:rsidRDefault="00AF0922" w:rsidP="00E57850">
            <w:pPr>
              <w:spacing w:line="360" w:lineRule="auto"/>
              <w:jc w:val="center"/>
              <w:rPr>
                <w:rFonts w:eastAsiaTheme="minorEastAsia"/>
                <w:lang w:val="en-US"/>
              </w:rPr>
            </w:pPr>
            <w:r w:rsidRPr="006D09B5">
              <w:rPr>
                <w:rFonts w:eastAsiaTheme="minorEastAsia"/>
                <w:lang w:val="en-US"/>
              </w:rPr>
              <w:t xml:space="preserve">Age at </w:t>
            </w:r>
            <w:r>
              <w:rPr>
                <w:rFonts w:eastAsiaTheme="minorEastAsia"/>
                <w:lang w:val="en-US"/>
              </w:rPr>
              <w:t>surgery(years)</w:t>
            </w:r>
          </w:p>
        </w:tc>
        <w:tc>
          <w:tcPr>
            <w:tcW w:w="1608"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41/38 (32.2; 48.5)</w:t>
            </w:r>
          </w:p>
        </w:tc>
        <w:tc>
          <w:tcPr>
            <w:tcW w:w="1517"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41.2/38 (33; 49.8)</w:t>
            </w:r>
          </w:p>
        </w:tc>
        <w:tc>
          <w:tcPr>
            <w:tcW w:w="1678"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39.8/37.5 (32; 43.8)</w:t>
            </w:r>
          </w:p>
        </w:tc>
        <w:tc>
          <w:tcPr>
            <w:tcW w:w="0" w:type="auto"/>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0.754</w:t>
            </w: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3779" w:type="dxa"/>
            <w:gridSpan w:val="2"/>
            <w:vAlign w:val="center"/>
          </w:tcPr>
          <w:p w:rsidR="00AF0922" w:rsidRPr="006D09B5" w:rsidRDefault="00AF0922" w:rsidP="00E57850">
            <w:pPr>
              <w:spacing w:line="360" w:lineRule="auto"/>
              <w:jc w:val="center"/>
              <w:rPr>
                <w:rFonts w:eastAsiaTheme="minorEastAsia"/>
                <w:lang w:val="en-US"/>
              </w:rPr>
            </w:pPr>
            <w:r>
              <w:rPr>
                <w:rFonts w:eastAsiaTheme="minorEastAsia"/>
                <w:lang w:val="en-US"/>
              </w:rPr>
              <w:t>Disease d</w:t>
            </w:r>
            <w:r w:rsidRPr="006D09B5">
              <w:rPr>
                <w:rFonts w:eastAsiaTheme="minorEastAsia"/>
                <w:lang w:val="en-US"/>
              </w:rPr>
              <w:t>uration (months)</w:t>
            </w:r>
          </w:p>
        </w:tc>
        <w:tc>
          <w:tcPr>
            <w:tcW w:w="1608"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83.4/24 (8.2; 144)</w:t>
            </w:r>
          </w:p>
        </w:tc>
        <w:tc>
          <w:tcPr>
            <w:tcW w:w="1517"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76/13.5 (7; 144)</w:t>
            </w:r>
          </w:p>
        </w:tc>
        <w:tc>
          <w:tcPr>
            <w:tcW w:w="1678"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137.7/108 (90; 144)</w:t>
            </w:r>
          </w:p>
        </w:tc>
        <w:tc>
          <w:tcPr>
            <w:tcW w:w="0" w:type="auto"/>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0.100</w:t>
            </w: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val="restart"/>
            <w:tcBorders>
              <w:right w:val="single" w:sz="4" w:space="0" w:color="auto"/>
            </w:tcBorders>
            <w:vAlign w:val="center"/>
          </w:tcPr>
          <w:p w:rsidR="00AF0922" w:rsidRPr="006D09B5" w:rsidRDefault="00AF0922" w:rsidP="00E57850">
            <w:pPr>
              <w:spacing w:line="360" w:lineRule="auto"/>
              <w:jc w:val="center"/>
              <w:rPr>
                <w:rFonts w:eastAsiaTheme="minorEastAsia"/>
                <w:lang w:val="en-US"/>
              </w:rPr>
            </w:pPr>
            <w:r>
              <w:rPr>
                <w:rFonts w:eastAsiaTheme="minorEastAsia"/>
                <w:lang w:val="en-US"/>
              </w:rPr>
              <w:t>Seizure type</w:t>
            </w:r>
          </w:p>
        </w:tc>
        <w:tc>
          <w:tcPr>
            <w:tcW w:w="2789" w:type="dxa"/>
            <w:tcBorders>
              <w:left w:val="single" w:sz="4" w:space="0" w:color="auto"/>
            </w:tcBorders>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US"/>
              </w:rPr>
            </w:pPr>
            <w:r w:rsidRPr="006D09B5">
              <w:rPr>
                <w:rFonts w:eastAsiaTheme="minorEastAsia"/>
                <w:lang w:val="en-US"/>
              </w:rPr>
              <w:t>Sporadic seizures</w:t>
            </w:r>
          </w:p>
        </w:tc>
        <w:tc>
          <w:tcPr>
            <w:tcW w:w="1608"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13 (26%)</w:t>
            </w:r>
          </w:p>
        </w:tc>
        <w:tc>
          <w:tcPr>
            <w:tcW w:w="1517"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13 (29.5%)</w:t>
            </w:r>
          </w:p>
        </w:tc>
        <w:tc>
          <w:tcPr>
            <w:tcW w:w="1678"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w:t>
            </w:r>
          </w:p>
        </w:tc>
        <w:tc>
          <w:tcPr>
            <w:tcW w:w="0" w:type="auto"/>
            <w:vMerge w:val="restart"/>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0.274</w:t>
            </w: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990" w:type="dxa"/>
            <w:vMerge/>
            <w:tcBorders>
              <w:right w:val="single" w:sz="4" w:space="0" w:color="auto"/>
            </w:tcBorders>
            <w:vAlign w:val="center"/>
          </w:tcPr>
          <w:p w:rsidR="00AF0922" w:rsidRPr="006D09B5" w:rsidRDefault="00AF0922" w:rsidP="00E57850">
            <w:pPr>
              <w:spacing w:line="360" w:lineRule="auto"/>
              <w:jc w:val="center"/>
              <w:rPr>
                <w:rFonts w:eastAsiaTheme="minorEastAsia"/>
                <w:lang w:val="en-US"/>
              </w:rPr>
            </w:pPr>
          </w:p>
        </w:tc>
        <w:tc>
          <w:tcPr>
            <w:tcW w:w="2789" w:type="dxa"/>
            <w:tcBorders>
              <w:left w:val="single" w:sz="4" w:space="0" w:color="auto"/>
            </w:tcBorders>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US"/>
              </w:rPr>
            </w:pPr>
            <w:r w:rsidRPr="006D09B5">
              <w:rPr>
                <w:rFonts w:eastAsiaTheme="minorEastAsia"/>
                <w:lang w:val="en-US"/>
              </w:rPr>
              <w:t>Epilepsy</w:t>
            </w:r>
          </w:p>
        </w:tc>
        <w:tc>
          <w:tcPr>
            <w:tcW w:w="1608"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36 (72%)</w:t>
            </w:r>
          </w:p>
        </w:tc>
        <w:tc>
          <w:tcPr>
            <w:tcW w:w="1517"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30 (68.2%)</w:t>
            </w:r>
          </w:p>
        </w:tc>
        <w:tc>
          <w:tcPr>
            <w:tcW w:w="1678" w:type="dxa"/>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6 (100%)</w:t>
            </w:r>
          </w:p>
        </w:tc>
        <w:tc>
          <w:tcPr>
            <w:tcW w:w="0" w:type="auto"/>
            <w:vMerge/>
            <w:vAlign w:val="center"/>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Borders>
              <w:right w:val="single" w:sz="4" w:space="0" w:color="auto"/>
            </w:tcBorders>
            <w:vAlign w:val="center"/>
          </w:tcPr>
          <w:p w:rsidR="00AF0922" w:rsidRPr="006D09B5" w:rsidRDefault="00AF0922" w:rsidP="00E57850">
            <w:pPr>
              <w:spacing w:line="360" w:lineRule="auto"/>
              <w:jc w:val="center"/>
              <w:rPr>
                <w:rFonts w:eastAsiaTheme="minorEastAsia"/>
                <w:lang w:val="en-US"/>
              </w:rPr>
            </w:pPr>
          </w:p>
        </w:tc>
        <w:tc>
          <w:tcPr>
            <w:tcW w:w="2789" w:type="dxa"/>
            <w:tcBorders>
              <w:left w:val="single" w:sz="4" w:space="0" w:color="auto"/>
            </w:tcBorders>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US"/>
              </w:rPr>
            </w:pPr>
            <w:r w:rsidRPr="006D09B5">
              <w:rPr>
                <w:rFonts w:eastAsiaTheme="minorEastAsia"/>
                <w:lang w:val="en-US"/>
              </w:rPr>
              <w:t xml:space="preserve">Status </w:t>
            </w:r>
            <w:proofErr w:type="spellStart"/>
            <w:r w:rsidRPr="006D09B5">
              <w:rPr>
                <w:rFonts w:eastAsiaTheme="minorEastAsia"/>
                <w:lang w:val="en-US"/>
              </w:rPr>
              <w:t>epilepticus</w:t>
            </w:r>
            <w:proofErr w:type="spellEnd"/>
          </w:p>
        </w:tc>
        <w:tc>
          <w:tcPr>
            <w:tcW w:w="1608"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 (2%)</w:t>
            </w:r>
          </w:p>
        </w:tc>
        <w:tc>
          <w:tcPr>
            <w:tcW w:w="1517"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 (2.3%)</w:t>
            </w:r>
          </w:p>
        </w:tc>
        <w:tc>
          <w:tcPr>
            <w:tcW w:w="1678" w:type="dxa"/>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w:t>
            </w:r>
          </w:p>
        </w:tc>
        <w:tc>
          <w:tcPr>
            <w:tcW w:w="0" w:type="auto"/>
            <w:vMerge/>
            <w:vAlign w:val="center"/>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r>
    </w:tbl>
    <w:p w:rsidR="00AF0922" w:rsidRPr="006D09B5" w:rsidRDefault="00AF0922" w:rsidP="00AF0922">
      <w:pPr>
        <w:spacing w:line="360" w:lineRule="auto"/>
        <w:jc w:val="both"/>
        <w:rPr>
          <w:rFonts w:eastAsiaTheme="minorEastAsia"/>
          <w:lang w:val="en-US"/>
        </w:rPr>
      </w:pPr>
    </w:p>
    <w:p w:rsidR="0045789A" w:rsidRDefault="0045789A" w:rsidP="00AF0922">
      <w:pPr>
        <w:pStyle w:val="NoSpacing"/>
        <w:sectPr w:rsidR="0045789A" w:rsidSect="00AF0922">
          <w:type w:val="continuous"/>
          <w:pgSz w:w="11901" w:h="16817"/>
          <w:pgMar w:top="567" w:right="567" w:bottom="567" w:left="851" w:header="567" w:footer="567" w:gutter="0"/>
          <w:cols w:space="284"/>
          <w:titlePg/>
          <w:docGrid w:linePitch="360"/>
        </w:sectPr>
      </w:pPr>
    </w:p>
    <w:p w:rsidR="00AF0922" w:rsidRPr="006D09B5" w:rsidRDefault="00AF0922" w:rsidP="00AF0922">
      <w:pPr>
        <w:pStyle w:val="NoSpacing"/>
      </w:pPr>
      <w:r w:rsidRPr="006D09B5">
        <w:t xml:space="preserve">Generalized seizures were predominantly observed in 32 patients </w:t>
      </w:r>
      <w:r>
        <w:t>(</w:t>
      </w:r>
      <w:r w:rsidRPr="006D09B5">
        <w:t>64%). Secondarily generalize</w:t>
      </w:r>
      <w:r>
        <w:t>d seizures occurred in 11 (22%)</w:t>
      </w:r>
      <w:r w:rsidRPr="006D09B5">
        <w:t xml:space="preserve">, </w:t>
      </w:r>
      <w:r>
        <w:t xml:space="preserve">and </w:t>
      </w:r>
      <w:r w:rsidRPr="006D09B5">
        <w:t xml:space="preserve">focal seizures in 7 </w:t>
      </w:r>
      <w:r>
        <w:t xml:space="preserve">patients </w:t>
      </w:r>
      <w:r w:rsidRPr="006D09B5">
        <w:t xml:space="preserve">(14%). </w:t>
      </w:r>
      <w:r w:rsidRPr="00A871C0">
        <w:t xml:space="preserve">No statistically significant correlation was </w:t>
      </w:r>
      <w:r>
        <w:t>found</w:t>
      </w:r>
      <w:r w:rsidRPr="00A871C0">
        <w:t xml:space="preserve"> between outcomes and the frequency</w:t>
      </w:r>
      <w:r>
        <w:t xml:space="preserve"> or types of seizures</w:t>
      </w:r>
      <w:r w:rsidRPr="006D09B5">
        <w:t xml:space="preserve"> (Table 1).</w:t>
      </w:r>
    </w:p>
    <w:p w:rsidR="00AF0922" w:rsidRPr="006D09B5" w:rsidRDefault="00AF0922" w:rsidP="00AF0922">
      <w:pPr>
        <w:pStyle w:val="NoSpacing"/>
        <w:rPr>
          <w:b/>
          <w:bCs/>
        </w:rPr>
      </w:pPr>
      <w:r w:rsidRPr="006D09B5">
        <w:rPr>
          <w:b/>
          <w:bCs/>
        </w:rPr>
        <w:t>CCM’s characteristics</w:t>
      </w:r>
    </w:p>
    <w:p w:rsidR="00AF0922" w:rsidRPr="006D09B5" w:rsidRDefault="00AF0922" w:rsidP="00AF0922">
      <w:pPr>
        <w:pStyle w:val="NoSpacing"/>
      </w:pPr>
      <w:r>
        <w:t>The mean/median</w:t>
      </w:r>
      <w:r w:rsidRPr="006D09B5">
        <w:t xml:space="preserve"> size of CCMs was 14.9/12 (9.2; 15) mm (</w:t>
      </w:r>
      <w:r>
        <w:t>range:</w:t>
      </w:r>
      <w:r w:rsidRPr="00A871C0">
        <w:t xml:space="preserve"> 5 </w:t>
      </w:r>
      <w:r>
        <w:t>-</w:t>
      </w:r>
      <w:r w:rsidRPr="00A871C0">
        <w:t xml:space="preserve"> 42 mm</w:t>
      </w:r>
      <w:r w:rsidRPr="006D09B5">
        <w:t xml:space="preserve">). According to the </w:t>
      </w:r>
      <w:proofErr w:type="spellStart"/>
      <w:r w:rsidRPr="006D09B5">
        <w:t>Zabramski</w:t>
      </w:r>
      <w:proofErr w:type="spellEnd"/>
      <w:r w:rsidRPr="006D09B5">
        <w:t xml:space="preserve"> classification, type 2 CCMs were most frequent (34 </w:t>
      </w:r>
      <w:r>
        <w:t xml:space="preserve">cases, </w:t>
      </w:r>
      <w:r w:rsidRPr="006D09B5">
        <w:t xml:space="preserve">68%), </w:t>
      </w:r>
      <w:r>
        <w:t xml:space="preserve">followed by </w:t>
      </w:r>
      <w:r w:rsidRPr="006D09B5">
        <w:t xml:space="preserve">type 1 </w:t>
      </w:r>
      <w:r>
        <w:t>(</w:t>
      </w:r>
      <w:r w:rsidRPr="006D09B5">
        <w:t>11 cases</w:t>
      </w:r>
      <w:r>
        <w:t>,</w:t>
      </w:r>
      <w:r w:rsidRPr="006D09B5">
        <w:t>22%</w:t>
      </w:r>
      <w:r>
        <w:t>)</w:t>
      </w:r>
      <w:r w:rsidRPr="006D09B5">
        <w:t xml:space="preserve">, and type 3 </w:t>
      </w:r>
      <w:r>
        <w:t>(</w:t>
      </w:r>
      <w:r w:rsidRPr="006D09B5">
        <w:t>5 cases</w:t>
      </w:r>
      <w:r>
        <w:t>,</w:t>
      </w:r>
      <w:r w:rsidRPr="006D09B5">
        <w:t xml:space="preserve"> 10%</w:t>
      </w:r>
      <w:r>
        <w:t>)</w:t>
      </w:r>
      <w:r w:rsidRPr="006D09B5">
        <w:t xml:space="preserve">. </w:t>
      </w:r>
      <w:r>
        <w:t xml:space="preserve">Most </w:t>
      </w:r>
      <w:r w:rsidRPr="00A871C0">
        <w:t xml:space="preserve">CCMs were </w:t>
      </w:r>
      <w:r>
        <w:t xml:space="preserve">located in </w:t>
      </w:r>
      <w:r w:rsidRPr="00A871C0">
        <w:t xml:space="preserve">the temporal lobe </w:t>
      </w:r>
      <w:r w:rsidRPr="006D09B5">
        <w:t xml:space="preserve">(27 </w:t>
      </w:r>
      <w:r>
        <w:t>cases, 54%</w:t>
      </w:r>
      <w:r w:rsidRPr="006D09B5">
        <w:t>), followed by the frontal lobe (11</w:t>
      </w:r>
      <w:r>
        <w:t xml:space="preserve"> cases, 22%</w:t>
      </w:r>
      <w:r w:rsidRPr="006D09B5">
        <w:t>).</w:t>
      </w:r>
    </w:p>
    <w:p w:rsidR="00AF0922" w:rsidRPr="006D09B5" w:rsidRDefault="00AF0922" w:rsidP="00AF0922">
      <w:pPr>
        <w:pStyle w:val="NoSpacing"/>
      </w:pPr>
      <w:r w:rsidRPr="00660356">
        <w:t xml:space="preserve">CCMs were predominantly situated directly within or in close proximity to the cortex in a total of thirty-nine cases (78%), while </w:t>
      </w:r>
      <w:r>
        <w:t xml:space="preserve">in ten cases (20%) </w:t>
      </w:r>
      <w:r w:rsidRPr="00660356">
        <w:t>mesial structures</w:t>
      </w:r>
      <w:r>
        <w:t xml:space="preserve"> were involved</w:t>
      </w:r>
      <w:r w:rsidRPr="00660356">
        <w:t xml:space="preserve">, and </w:t>
      </w:r>
      <w:r>
        <w:t xml:space="preserve">in </w:t>
      </w:r>
      <w:r w:rsidRPr="00660356">
        <w:t xml:space="preserve">one case (2%) </w:t>
      </w:r>
      <w:r>
        <w:t>a CCM was</w:t>
      </w:r>
      <w:r w:rsidRPr="00660356">
        <w:t xml:space="preserve"> located within the thalamus and subcortical nuclei</w:t>
      </w:r>
      <w:r>
        <w:t xml:space="preserve">. </w:t>
      </w:r>
      <w:r w:rsidRPr="006D09B5">
        <w:t xml:space="preserve">CCMs were evenly </w:t>
      </w:r>
      <w:r>
        <w:t>distributed across</w:t>
      </w:r>
      <w:r w:rsidRPr="006D09B5">
        <w:t xml:space="preserve"> both cerebral hemispheres. </w:t>
      </w:r>
    </w:p>
    <w:p w:rsidR="00AF0922" w:rsidRDefault="00AF0922" w:rsidP="00AF0922">
      <w:pPr>
        <w:pStyle w:val="NoSpacing"/>
      </w:pPr>
      <w:r w:rsidRPr="00EA2F3A">
        <w:lastRenderedPageBreak/>
        <w:t xml:space="preserve">The various localizations of CCMs exhibited no statistically significant impact on clinical outcomes following surgical intervention </w:t>
      </w:r>
      <w:r w:rsidRPr="006D09B5">
        <w:t>(Table 2).</w:t>
      </w:r>
    </w:p>
    <w:p w:rsidR="0045789A" w:rsidRDefault="0045789A" w:rsidP="00AF0922">
      <w:pPr>
        <w:spacing w:line="360" w:lineRule="auto"/>
        <w:jc w:val="both"/>
        <w:rPr>
          <w:rFonts w:eastAsiaTheme="minorEastAsia"/>
          <w:lang w:val="en-US"/>
        </w:rPr>
        <w:sectPr w:rsidR="0045789A" w:rsidSect="0045789A">
          <w:type w:val="continuous"/>
          <w:pgSz w:w="11901" w:h="16817"/>
          <w:pgMar w:top="567" w:right="567" w:bottom="567" w:left="851" w:header="567" w:footer="567" w:gutter="0"/>
          <w:cols w:num="2" w:space="284"/>
          <w:titlePg/>
          <w:docGrid w:linePitch="360"/>
        </w:sectPr>
      </w:pPr>
    </w:p>
    <w:p w:rsidR="0045789A" w:rsidRDefault="0045789A" w:rsidP="00AF0922">
      <w:pPr>
        <w:spacing w:line="360" w:lineRule="auto"/>
        <w:jc w:val="both"/>
        <w:rPr>
          <w:rFonts w:eastAsiaTheme="minorEastAsia"/>
          <w:lang w:val="en-US"/>
        </w:rPr>
      </w:pPr>
    </w:p>
    <w:p w:rsidR="00AF0922" w:rsidRPr="006D09B5" w:rsidRDefault="00AF0922" w:rsidP="00AF0922">
      <w:pPr>
        <w:spacing w:line="360" w:lineRule="auto"/>
        <w:jc w:val="both"/>
        <w:rPr>
          <w:rFonts w:eastAsiaTheme="minorEastAsia"/>
          <w:lang w:val="en-US"/>
        </w:rPr>
      </w:pPr>
      <w:r w:rsidRPr="006D09B5">
        <w:rPr>
          <w:rFonts w:eastAsiaTheme="minorEastAsia"/>
          <w:lang w:val="en-US"/>
        </w:rPr>
        <w:t xml:space="preserve">Table 2. Radiologic and </w:t>
      </w:r>
      <w:r>
        <w:rPr>
          <w:rFonts w:eastAsiaTheme="minorEastAsia"/>
          <w:lang w:val="en-US"/>
        </w:rPr>
        <w:t>A</w:t>
      </w:r>
      <w:r w:rsidRPr="006D09B5">
        <w:rPr>
          <w:rFonts w:eastAsiaTheme="minorEastAsia"/>
          <w:lang w:val="en-US"/>
        </w:rPr>
        <w:t xml:space="preserve">natomical </w:t>
      </w:r>
      <w:r>
        <w:rPr>
          <w:rFonts w:eastAsiaTheme="minorEastAsia"/>
          <w:lang w:val="en-US"/>
        </w:rPr>
        <w:t>F</w:t>
      </w:r>
      <w:r w:rsidRPr="006D09B5">
        <w:rPr>
          <w:rFonts w:eastAsiaTheme="minorEastAsia"/>
          <w:lang w:val="en-US"/>
        </w:rPr>
        <w:t>eatures of CCMs</w:t>
      </w:r>
    </w:p>
    <w:tbl>
      <w:tblPr>
        <w:tblStyle w:val="-511"/>
        <w:tblpPr w:leftFromText="180" w:rightFromText="180" w:vertAnchor="text" w:horzAnchor="margin" w:tblpYSpec="inside"/>
        <w:tblW w:w="0" w:type="auto"/>
        <w:tblLook w:val="04A0" w:firstRow="1" w:lastRow="0" w:firstColumn="1" w:lastColumn="0" w:noHBand="0" w:noVBand="1"/>
      </w:tblPr>
      <w:tblGrid>
        <w:gridCol w:w="1675"/>
        <w:gridCol w:w="2351"/>
        <w:gridCol w:w="1534"/>
        <w:gridCol w:w="1363"/>
        <w:gridCol w:w="1481"/>
        <w:gridCol w:w="941"/>
      </w:tblGrid>
      <w:tr w:rsidR="00AF0922" w:rsidRPr="006D09B5" w:rsidTr="00E57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gridSpan w:val="2"/>
          </w:tcPr>
          <w:p w:rsidR="00AF0922" w:rsidRPr="006D09B5" w:rsidRDefault="00AF0922" w:rsidP="00E57850">
            <w:pPr>
              <w:spacing w:line="360" w:lineRule="auto"/>
              <w:jc w:val="center"/>
              <w:rPr>
                <w:rFonts w:eastAsiaTheme="minorEastAsia"/>
                <w:lang w:val="en-US"/>
              </w:rPr>
            </w:pPr>
            <w:r w:rsidRPr="006D09B5">
              <w:rPr>
                <w:rFonts w:eastAsiaTheme="minorEastAsia"/>
                <w:lang w:val="en-US"/>
              </w:rPr>
              <w:t>Category</w:t>
            </w:r>
          </w:p>
        </w:tc>
        <w:tc>
          <w:tcPr>
            <w:tcW w:w="1534" w:type="dxa"/>
          </w:tcPr>
          <w:p w:rsidR="00AF0922" w:rsidRPr="006D09B5" w:rsidRDefault="00AF0922" w:rsidP="00E57850">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Total</w:t>
            </w:r>
          </w:p>
        </w:tc>
        <w:tc>
          <w:tcPr>
            <w:tcW w:w="1363" w:type="dxa"/>
          </w:tcPr>
          <w:p w:rsidR="00AF0922" w:rsidRPr="00B82740" w:rsidRDefault="00AF0922" w:rsidP="00E57850">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Engel 1</w:t>
            </w:r>
            <w:r>
              <w:rPr>
                <w:rFonts w:eastAsiaTheme="minorEastAsia"/>
              </w:rPr>
              <w:t xml:space="preserve"> C</w:t>
            </w:r>
            <w:r>
              <w:rPr>
                <w:rFonts w:eastAsiaTheme="minorEastAsia"/>
                <w:lang w:val="en-US"/>
              </w:rPr>
              <w:t>lass</w:t>
            </w:r>
          </w:p>
        </w:tc>
        <w:tc>
          <w:tcPr>
            <w:tcW w:w="1481" w:type="dxa"/>
          </w:tcPr>
          <w:p w:rsidR="00AF0922" w:rsidRPr="006D09B5" w:rsidRDefault="00AF0922" w:rsidP="00E57850">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Engel 2-4</w:t>
            </w:r>
            <w:r>
              <w:rPr>
                <w:rFonts w:eastAsiaTheme="minorEastAsia"/>
                <w:lang w:val="en-US"/>
              </w:rPr>
              <w:t xml:space="preserve"> Classes</w:t>
            </w:r>
          </w:p>
        </w:tc>
        <w:tc>
          <w:tcPr>
            <w:tcW w:w="941" w:type="dxa"/>
          </w:tcPr>
          <w:p w:rsidR="00AF0922" w:rsidRPr="006D09B5" w:rsidRDefault="00AF0922" w:rsidP="00E57850">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p-value</w:t>
            </w: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gridSpan w:val="2"/>
          </w:tcPr>
          <w:p w:rsidR="00AF0922" w:rsidRPr="006D09B5" w:rsidRDefault="00AF0922" w:rsidP="00E57850">
            <w:pPr>
              <w:spacing w:line="360" w:lineRule="auto"/>
              <w:jc w:val="center"/>
              <w:rPr>
                <w:rFonts w:eastAsiaTheme="minorEastAsia"/>
                <w:lang w:val="en-US"/>
              </w:rPr>
            </w:pPr>
            <w:r w:rsidRPr="006D09B5">
              <w:rPr>
                <w:rFonts w:eastAsiaTheme="minorEastAsia"/>
                <w:lang w:val="en-US"/>
              </w:rPr>
              <w:t>CCM’s diameter</w:t>
            </w:r>
            <w:r>
              <w:rPr>
                <w:rFonts w:eastAsiaTheme="minorEastAsia"/>
                <w:lang w:val="en-US"/>
              </w:rPr>
              <w:t>(mm)</w:t>
            </w:r>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14.9/12 (9.2; 15)</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14.4/12 (9.1; 15)</w:t>
            </w: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18.3/13.5 (10.8; 24.5)</w:t>
            </w:r>
          </w:p>
        </w:tc>
        <w:tc>
          <w:tcPr>
            <w:tcW w:w="94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0.464</w:t>
            </w: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1675" w:type="dxa"/>
            <w:vMerge w:val="restart"/>
          </w:tcPr>
          <w:p w:rsidR="00AF0922" w:rsidRPr="006D09B5" w:rsidRDefault="00AF0922" w:rsidP="00E57850">
            <w:pPr>
              <w:spacing w:line="360" w:lineRule="auto"/>
              <w:jc w:val="center"/>
              <w:rPr>
                <w:rFonts w:eastAsiaTheme="minorEastAsia"/>
                <w:lang w:val="en-US"/>
              </w:rPr>
            </w:pPr>
            <w:proofErr w:type="spellStart"/>
            <w:r w:rsidRPr="006D09B5">
              <w:rPr>
                <w:rFonts w:eastAsiaTheme="minorEastAsia"/>
                <w:lang w:val="en-US"/>
              </w:rPr>
              <w:t>Zabramski</w:t>
            </w:r>
            <w:proofErr w:type="spellEnd"/>
          </w:p>
          <w:p w:rsidR="00AF0922" w:rsidRPr="006D09B5" w:rsidRDefault="00AF0922" w:rsidP="00E57850">
            <w:pPr>
              <w:spacing w:line="360" w:lineRule="auto"/>
              <w:jc w:val="center"/>
              <w:rPr>
                <w:rFonts w:eastAsiaTheme="minorEastAsia"/>
                <w:lang w:val="en-US"/>
              </w:rPr>
            </w:pPr>
            <w:r w:rsidRPr="006D09B5">
              <w:rPr>
                <w:rFonts w:eastAsiaTheme="minorEastAsia"/>
                <w:lang w:val="en-US"/>
              </w:rPr>
              <w:t>classification</w:t>
            </w:r>
          </w:p>
        </w:tc>
        <w:tc>
          <w:tcPr>
            <w:tcW w:w="235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w:t>
            </w:r>
          </w:p>
        </w:tc>
        <w:tc>
          <w:tcPr>
            <w:tcW w:w="1534"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11(22%)</w:t>
            </w:r>
          </w:p>
        </w:tc>
        <w:tc>
          <w:tcPr>
            <w:tcW w:w="1363"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8(18.2%)</w:t>
            </w:r>
          </w:p>
        </w:tc>
        <w:tc>
          <w:tcPr>
            <w:tcW w:w="148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3(50%)</w:t>
            </w:r>
          </w:p>
        </w:tc>
        <w:tc>
          <w:tcPr>
            <w:tcW w:w="941" w:type="dxa"/>
            <w:vMerge w:val="restart"/>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0.211</w:t>
            </w: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w:t>
            </w:r>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34(68%)</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31(70.4%)</w:t>
            </w: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3(50%)</w:t>
            </w:r>
          </w:p>
        </w:tc>
        <w:tc>
          <w:tcPr>
            <w:tcW w:w="941" w:type="dxa"/>
            <w:vMerge/>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3</w:t>
            </w:r>
          </w:p>
        </w:tc>
        <w:tc>
          <w:tcPr>
            <w:tcW w:w="1534"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5(10%)</w:t>
            </w:r>
          </w:p>
        </w:tc>
        <w:tc>
          <w:tcPr>
            <w:tcW w:w="1363"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5(11.4%)</w:t>
            </w:r>
          </w:p>
        </w:tc>
        <w:tc>
          <w:tcPr>
            <w:tcW w:w="148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0</w:t>
            </w:r>
          </w:p>
        </w:tc>
        <w:tc>
          <w:tcPr>
            <w:tcW w:w="941" w:type="dxa"/>
            <w:vMerge/>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vMerge w:val="restart"/>
          </w:tcPr>
          <w:p w:rsidR="00AF0922" w:rsidRPr="006D09B5" w:rsidRDefault="00AF0922" w:rsidP="00E57850">
            <w:pPr>
              <w:spacing w:line="360" w:lineRule="auto"/>
              <w:jc w:val="center"/>
              <w:rPr>
                <w:rFonts w:eastAsiaTheme="minorEastAsia"/>
                <w:lang w:val="en-US"/>
              </w:rPr>
            </w:pPr>
            <w:r w:rsidRPr="006D09B5">
              <w:rPr>
                <w:rFonts w:eastAsiaTheme="minorEastAsia"/>
                <w:lang w:val="en-US"/>
              </w:rPr>
              <w:t>Side of the lesion</w:t>
            </w:r>
          </w:p>
        </w:tc>
        <w:tc>
          <w:tcPr>
            <w:tcW w:w="235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right</w:t>
            </w:r>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25 (50%)</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20(45.5%)</w:t>
            </w: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5(83.3%)</w:t>
            </w:r>
          </w:p>
        </w:tc>
        <w:tc>
          <w:tcPr>
            <w:tcW w:w="941" w:type="dxa"/>
            <w:vMerge w:val="restart"/>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0.189</w:t>
            </w: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left</w:t>
            </w:r>
          </w:p>
        </w:tc>
        <w:tc>
          <w:tcPr>
            <w:tcW w:w="1534"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25 (50%)</w:t>
            </w:r>
          </w:p>
        </w:tc>
        <w:tc>
          <w:tcPr>
            <w:tcW w:w="1363"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24(54.5%)</w:t>
            </w:r>
          </w:p>
        </w:tc>
        <w:tc>
          <w:tcPr>
            <w:tcW w:w="148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1(16.7%)</w:t>
            </w:r>
          </w:p>
        </w:tc>
        <w:tc>
          <w:tcPr>
            <w:tcW w:w="941" w:type="dxa"/>
            <w:vMerge/>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vMerge w:val="restart"/>
          </w:tcPr>
          <w:p w:rsidR="00AF0922" w:rsidRPr="006D09B5" w:rsidRDefault="00AF0922" w:rsidP="00E57850">
            <w:pPr>
              <w:spacing w:line="360" w:lineRule="auto"/>
              <w:jc w:val="center"/>
              <w:rPr>
                <w:rFonts w:eastAsiaTheme="minorEastAsia"/>
                <w:lang w:val="en-US"/>
              </w:rPr>
            </w:pPr>
            <w:r w:rsidRPr="006D09B5">
              <w:rPr>
                <w:rFonts w:eastAsiaTheme="minorEastAsia"/>
                <w:lang w:val="en-US"/>
              </w:rPr>
              <w:t>Brain lobe</w:t>
            </w:r>
          </w:p>
        </w:tc>
        <w:tc>
          <w:tcPr>
            <w:tcW w:w="235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Temporal lobe</w:t>
            </w:r>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27(54%)</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23(52.3%)</w:t>
            </w: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4(66.7%)</w:t>
            </w:r>
          </w:p>
        </w:tc>
        <w:tc>
          <w:tcPr>
            <w:tcW w:w="941" w:type="dxa"/>
            <w:vMerge w:val="restart"/>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0.865</w:t>
            </w: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Frontal lobe</w:t>
            </w:r>
          </w:p>
        </w:tc>
        <w:tc>
          <w:tcPr>
            <w:tcW w:w="1534"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11(22%)</w:t>
            </w:r>
          </w:p>
        </w:tc>
        <w:tc>
          <w:tcPr>
            <w:tcW w:w="1363"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10(22.7%)</w:t>
            </w:r>
          </w:p>
        </w:tc>
        <w:tc>
          <w:tcPr>
            <w:tcW w:w="148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1(16.7%)</w:t>
            </w:r>
          </w:p>
        </w:tc>
        <w:tc>
          <w:tcPr>
            <w:tcW w:w="941" w:type="dxa"/>
            <w:vMerge/>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Parietal lobe</w:t>
            </w:r>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8(16%)</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8(18.2%)</w:t>
            </w: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c>
          <w:tcPr>
            <w:tcW w:w="941" w:type="dxa"/>
            <w:vMerge/>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Occipital lobe</w:t>
            </w:r>
          </w:p>
        </w:tc>
        <w:tc>
          <w:tcPr>
            <w:tcW w:w="1534"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2(4%)</w:t>
            </w:r>
          </w:p>
        </w:tc>
        <w:tc>
          <w:tcPr>
            <w:tcW w:w="1363"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2(4.5%)</w:t>
            </w:r>
          </w:p>
        </w:tc>
        <w:tc>
          <w:tcPr>
            <w:tcW w:w="148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c>
          <w:tcPr>
            <w:tcW w:w="941" w:type="dxa"/>
            <w:vMerge/>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Insular lobe</w:t>
            </w:r>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1(2%)</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1(2.3%)</w:t>
            </w: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c>
          <w:tcPr>
            <w:tcW w:w="941" w:type="dxa"/>
            <w:vMerge/>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Basal nuclei</w:t>
            </w:r>
          </w:p>
        </w:tc>
        <w:tc>
          <w:tcPr>
            <w:tcW w:w="1534"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1(2%)</w:t>
            </w:r>
          </w:p>
        </w:tc>
        <w:tc>
          <w:tcPr>
            <w:tcW w:w="1363"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c>
          <w:tcPr>
            <w:tcW w:w="148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1(16.7%)</w:t>
            </w:r>
          </w:p>
        </w:tc>
        <w:tc>
          <w:tcPr>
            <w:tcW w:w="941" w:type="dxa"/>
            <w:vMerge/>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vMerge w:val="restart"/>
          </w:tcPr>
          <w:p w:rsidR="00AF0922" w:rsidRPr="006D09B5" w:rsidRDefault="00AF0922" w:rsidP="00E57850">
            <w:pPr>
              <w:spacing w:line="360" w:lineRule="auto"/>
              <w:jc w:val="center"/>
              <w:rPr>
                <w:rFonts w:eastAsiaTheme="minorEastAsia"/>
                <w:lang w:val="en-US"/>
              </w:rPr>
            </w:pPr>
            <w:r w:rsidRPr="006D09B5">
              <w:rPr>
                <w:rFonts w:eastAsiaTheme="minorEastAsia"/>
                <w:lang w:val="en-US"/>
              </w:rPr>
              <w:t>CCM’s localization depth</w:t>
            </w:r>
          </w:p>
        </w:tc>
        <w:tc>
          <w:tcPr>
            <w:tcW w:w="235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Cortically</w:t>
            </w:r>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12 (24%)</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11 (25%)</w:t>
            </w: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 (16.7%)</w:t>
            </w:r>
          </w:p>
        </w:tc>
        <w:tc>
          <w:tcPr>
            <w:tcW w:w="941" w:type="dxa"/>
            <w:vMerge w:val="restart"/>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0.053</w:t>
            </w: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Cortically-</w:t>
            </w:r>
            <w:proofErr w:type="spellStart"/>
            <w:r w:rsidRPr="006D09B5">
              <w:rPr>
                <w:rFonts w:eastAsiaTheme="minorEastAsia"/>
                <w:lang w:val="en-US"/>
              </w:rPr>
              <w:t>subcortically</w:t>
            </w:r>
            <w:proofErr w:type="spellEnd"/>
          </w:p>
        </w:tc>
        <w:tc>
          <w:tcPr>
            <w:tcW w:w="1534"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25 (50%)</w:t>
            </w:r>
          </w:p>
        </w:tc>
        <w:tc>
          <w:tcPr>
            <w:tcW w:w="1363"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23 (52.3%)</w:t>
            </w:r>
          </w:p>
        </w:tc>
        <w:tc>
          <w:tcPr>
            <w:tcW w:w="148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 (33.3%)</w:t>
            </w:r>
          </w:p>
        </w:tc>
        <w:tc>
          <w:tcPr>
            <w:tcW w:w="941" w:type="dxa"/>
            <w:vMerge/>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roofErr w:type="spellStart"/>
            <w:r w:rsidRPr="006D09B5">
              <w:rPr>
                <w:rFonts w:eastAsiaTheme="minorEastAsia"/>
                <w:lang w:val="en-US"/>
              </w:rPr>
              <w:t>Subcortically</w:t>
            </w:r>
            <w:proofErr w:type="spellEnd"/>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 (4%)</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2 (4.5%)</w:t>
            </w: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c>
          <w:tcPr>
            <w:tcW w:w="941" w:type="dxa"/>
            <w:vMerge/>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r>
      <w:tr w:rsidR="00AF0922" w:rsidRPr="006D09B5" w:rsidTr="00E57850">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roofErr w:type="spellStart"/>
            <w:r w:rsidRPr="006D09B5">
              <w:rPr>
                <w:rFonts w:eastAsiaTheme="minorEastAsia"/>
                <w:lang w:val="en-US"/>
              </w:rPr>
              <w:t>Mesiotemporally</w:t>
            </w:r>
            <w:proofErr w:type="spellEnd"/>
          </w:p>
        </w:tc>
        <w:tc>
          <w:tcPr>
            <w:tcW w:w="1534"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10 (20%)</w:t>
            </w:r>
          </w:p>
        </w:tc>
        <w:tc>
          <w:tcPr>
            <w:tcW w:w="1363"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8 (18.2%)</w:t>
            </w:r>
          </w:p>
        </w:tc>
        <w:tc>
          <w:tcPr>
            <w:tcW w:w="1481" w:type="dxa"/>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6D09B5">
              <w:rPr>
                <w:rFonts w:eastAsiaTheme="minorEastAsia"/>
                <w:lang w:val="en-US"/>
              </w:rPr>
              <w:t>2 (33.3%)</w:t>
            </w:r>
          </w:p>
        </w:tc>
        <w:tc>
          <w:tcPr>
            <w:tcW w:w="941" w:type="dxa"/>
            <w:vMerge/>
          </w:tcPr>
          <w:p w:rsidR="00AF0922" w:rsidRPr="006D09B5" w:rsidRDefault="00AF0922" w:rsidP="00E578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AF0922" w:rsidRPr="006D09B5" w:rsidTr="00E57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vMerge/>
          </w:tcPr>
          <w:p w:rsidR="00AF0922" w:rsidRPr="006D09B5" w:rsidRDefault="00AF0922" w:rsidP="00E57850">
            <w:pPr>
              <w:spacing w:line="360" w:lineRule="auto"/>
              <w:jc w:val="center"/>
              <w:rPr>
                <w:rFonts w:eastAsiaTheme="minorEastAsia"/>
                <w:lang w:val="en-US"/>
              </w:rPr>
            </w:pPr>
          </w:p>
        </w:tc>
        <w:tc>
          <w:tcPr>
            <w:tcW w:w="235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roofErr w:type="spellStart"/>
            <w:r>
              <w:rPr>
                <w:rFonts w:eastAsiaTheme="minorEastAsia"/>
                <w:lang w:val="en-US"/>
              </w:rPr>
              <w:t>Subocrtical</w:t>
            </w:r>
            <w:proofErr w:type="spellEnd"/>
            <w:r w:rsidRPr="006D09B5">
              <w:rPr>
                <w:rFonts w:eastAsiaTheme="minorEastAsia"/>
                <w:lang w:val="en-US"/>
              </w:rPr>
              <w:t xml:space="preserve"> nuclei, thalamus</w:t>
            </w:r>
          </w:p>
        </w:tc>
        <w:tc>
          <w:tcPr>
            <w:tcW w:w="1534"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 (2%)</w:t>
            </w:r>
          </w:p>
        </w:tc>
        <w:tc>
          <w:tcPr>
            <w:tcW w:w="1363"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c>
          <w:tcPr>
            <w:tcW w:w="1481" w:type="dxa"/>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6D09B5">
              <w:rPr>
                <w:rFonts w:eastAsiaTheme="minorEastAsia"/>
                <w:lang w:val="en-US"/>
              </w:rPr>
              <w:t>1 (16.7%)</w:t>
            </w:r>
          </w:p>
        </w:tc>
        <w:tc>
          <w:tcPr>
            <w:tcW w:w="941" w:type="dxa"/>
            <w:vMerge/>
          </w:tcPr>
          <w:p w:rsidR="00AF0922" w:rsidRPr="006D09B5" w:rsidRDefault="00AF0922" w:rsidP="00E5785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lang w:val="en-US"/>
              </w:rPr>
            </w:pPr>
          </w:p>
        </w:tc>
      </w:tr>
    </w:tbl>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Fonts w:eastAsiaTheme="minorEastAsia"/>
          <w:b/>
          <w:bCs/>
          <w:lang w:val="en-US"/>
        </w:rPr>
      </w:pPr>
    </w:p>
    <w:p w:rsidR="00AF0922" w:rsidRDefault="00AF0922" w:rsidP="00AF0922">
      <w:pPr>
        <w:spacing w:line="360" w:lineRule="auto"/>
        <w:jc w:val="both"/>
        <w:rPr>
          <w:rStyle w:val="Heading1Char"/>
        </w:rPr>
      </w:pPr>
      <w:r w:rsidRPr="00AF0922">
        <w:rPr>
          <w:rStyle w:val="Heading1Char"/>
        </w:rPr>
        <w:t>Surgical intervention and postoperative complications</w:t>
      </w:r>
    </w:p>
    <w:p w:rsidR="0045789A" w:rsidRDefault="0045789A" w:rsidP="00AF0922">
      <w:pPr>
        <w:pStyle w:val="NoSpacing"/>
        <w:sectPr w:rsidR="0045789A" w:rsidSect="00AF0922">
          <w:type w:val="continuous"/>
          <w:pgSz w:w="11901" w:h="16817"/>
          <w:pgMar w:top="567" w:right="567" w:bottom="567" w:left="851" w:header="567" w:footer="567" w:gutter="0"/>
          <w:cols w:space="284"/>
          <w:titlePg/>
          <w:docGrid w:linePitch="360"/>
        </w:sectPr>
      </w:pPr>
    </w:p>
    <w:p w:rsidR="00AF0922" w:rsidRDefault="00AF0922" w:rsidP="00AF0922">
      <w:pPr>
        <w:pStyle w:val="NoSpacing"/>
      </w:pPr>
      <w:r w:rsidRPr="00345870">
        <w:lastRenderedPageBreak/>
        <w:t xml:space="preserve">Neurological complications following surgery were observed in one patient (2%), presenting as </w:t>
      </w:r>
      <w:proofErr w:type="spellStart"/>
      <w:r w:rsidRPr="00345870">
        <w:t>oculomotor</w:t>
      </w:r>
      <w:proofErr w:type="spellEnd"/>
      <w:r w:rsidRPr="00345870">
        <w:t xml:space="preserve"> nerve paresis after resection of a cavernous malformation (CM) involving the mesial temporal lobe. A small-volume chronic subdural hematoma, which did not necessitate further surgical intervention, was identified in another patient (2%). Infectious complications at the surgical site occurred in two patients (4%).</w:t>
      </w:r>
    </w:p>
    <w:p w:rsidR="00AF0922" w:rsidRDefault="00AF0922" w:rsidP="00AF0922">
      <w:pPr>
        <w:pStyle w:val="NoSpacing"/>
      </w:pPr>
      <w:r w:rsidRPr="00EA2F3A">
        <w:t>An MRI analysis assessing the completeness of CCM excision</w:t>
      </w:r>
      <w:r>
        <w:t xml:space="preserve"> </w:t>
      </w:r>
      <w:r w:rsidRPr="006D09B5">
        <w:t>and the hemosiderin ri</w:t>
      </w:r>
      <w:r>
        <w:t>m</w:t>
      </w:r>
      <w:r w:rsidRPr="006D09B5">
        <w:t xml:space="preserve"> resection was performed in 43 </w:t>
      </w:r>
      <w:r>
        <w:t xml:space="preserve">patients </w:t>
      </w:r>
      <w:r w:rsidRPr="006D09B5">
        <w:lastRenderedPageBreak/>
        <w:t xml:space="preserve">(86%). </w:t>
      </w:r>
      <w:r w:rsidRPr="00345870">
        <w:t xml:space="preserve">Complete CCM resection was achieved in all 43 cases. Complete resection of the hemosiderin rim was accomplished in 28 cases (65.1%) (Fig. 1). In the unsatisfactory outcome group, complete hemosiderin rim resection was performed in only one of five patients (20%), compared to 27 of 38 patients (71%) in the Engel class </w:t>
      </w:r>
      <w:r>
        <w:t>1</w:t>
      </w:r>
      <w:r w:rsidRPr="00345870">
        <w:t xml:space="preserve"> group. This difference was statistically significant (</w:t>
      </w:r>
      <w:r w:rsidRPr="00345870">
        <w:rPr>
          <w:i/>
          <w:iCs/>
        </w:rPr>
        <w:t>p</w:t>
      </w:r>
      <w:r w:rsidRPr="00345870">
        <w:t xml:space="preserve"> = 0.043) (Fig. 2).</w:t>
      </w:r>
    </w:p>
    <w:p w:rsidR="0045789A" w:rsidRDefault="0045789A" w:rsidP="00AF0922">
      <w:pPr>
        <w:spacing w:line="360" w:lineRule="auto"/>
        <w:jc w:val="both"/>
        <w:rPr>
          <w:rFonts w:eastAsiaTheme="minorEastAsia"/>
          <w:lang w:val="en-US"/>
        </w:rPr>
        <w:sectPr w:rsidR="0045789A" w:rsidSect="0045789A">
          <w:type w:val="continuous"/>
          <w:pgSz w:w="11901" w:h="16817"/>
          <w:pgMar w:top="567" w:right="567" w:bottom="567" w:left="851" w:header="567" w:footer="567" w:gutter="0"/>
          <w:cols w:num="2" w:space="284"/>
          <w:titlePg/>
          <w:docGrid w:linePitch="360"/>
        </w:sectPr>
      </w:pPr>
    </w:p>
    <w:p w:rsidR="00AF0922" w:rsidRDefault="00AF0922" w:rsidP="00AF0922">
      <w:pPr>
        <w:spacing w:line="360" w:lineRule="auto"/>
        <w:jc w:val="both"/>
        <w:rPr>
          <w:rFonts w:eastAsiaTheme="minorEastAsia"/>
          <w:lang w:val="en-US"/>
        </w:rPr>
      </w:pPr>
      <w:r>
        <w:rPr>
          <w:rFonts w:eastAsiaTheme="minorEastAsia"/>
          <w:noProof/>
          <w:lang w:val="sr-Latn-RS" w:eastAsia="sr-Latn-RS"/>
        </w:rPr>
        <w:lastRenderedPageBreak/>
        <w:drawing>
          <wp:inline distT="0" distB="0" distL="0" distR="0" wp14:anchorId="672342E0" wp14:editId="4EC96896">
            <wp:extent cx="5940425" cy="3137535"/>
            <wp:effectExtent l="0" t="0" r="3175" b="0"/>
            <wp:docPr id="8444132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13204" name="Рисунок 8444132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3137535"/>
                    </a:xfrm>
                    <a:prstGeom prst="rect">
                      <a:avLst/>
                    </a:prstGeom>
                  </pic:spPr>
                </pic:pic>
              </a:graphicData>
            </a:graphic>
          </wp:inline>
        </w:drawing>
      </w:r>
    </w:p>
    <w:p w:rsidR="00AF0922" w:rsidRPr="0091110C" w:rsidRDefault="00AF0922" w:rsidP="00AF0922">
      <w:pPr>
        <w:pStyle w:val="NoSpacing"/>
        <w:rPr>
          <w:rFonts w:eastAsiaTheme="minorEastAsia"/>
        </w:rPr>
      </w:pPr>
      <w:r w:rsidRPr="0091110C">
        <w:rPr>
          <w:rFonts w:eastAsiaTheme="minorEastAsia"/>
        </w:rPr>
        <w:t>F</w:t>
      </w:r>
      <w:r>
        <w:rPr>
          <w:rFonts w:eastAsiaTheme="minorEastAsia"/>
        </w:rPr>
        <w:t>igure 1.</w:t>
      </w:r>
      <w:r w:rsidRPr="0091110C">
        <w:t xml:space="preserve"> </w:t>
      </w:r>
      <w:proofErr w:type="spellStart"/>
      <w:r w:rsidRPr="00D40D63">
        <w:rPr>
          <w:rStyle w:val="Strong"/>
          <w:lang w:val="en-US"/>
        </w:rPr>
        <w:t>Corticosubcortical</w:t>
      </w:r>
      <w:proofErr w:type="spellEnd"/>
      <w:r w:rsidRPr="00D40D63">
        <w:rPr>
          <w:rStyle w:val="Strong"/>
          <w:lang w:val="en-US"/>
        </w:rPr>
        <w:t xml:space="preserve"> </w:t>
      </w:r>
      <w:r>
        <w:rPr>
          <w:rStyle w:val="Strong"/>
          <w:lang w:val="en-US"/>
        </w:rPr>
        <w:t>c</w:t>
      </w:r>
      <w:r w:rsidRPr="00D40D63">
        <w:rPr>
          <w:rStyle w:val="Strong"/>
          <w:lang w:val="en-US"/>
        </w:rPr>
        <w:t>averno</w:t>
      </w:r>
      <w:r>
        <w:rPr>
          <w:rStyle w:val="Strong"/>
          <w:lang w:val="en-US"/>
        </w:rPr>
        <w:t>us malformation (CCM)</w:t>
      </w:r>
      <w:r w:rsidRPr="00D40D63">
        <w:rPr>
          <w:rStyle w:val="Strong"/>
          <w:lang w:val="en-US"/>
        </w:rPr>
        <w:t xml:space="preserve"> on </w:t>
      </w:r>
      <w:r>
        <w:rPr>
          <w:rStyle w:val="Strong"/>
          <w:lang w:val="en-US"/>
        </w:rPr>
        <w:t>s</w:t>
      </w:r>
      <w:r w:rsidRPr="00D40D63">
        <w:rPr>
          <w:rStyle w:val="Strong"/>
          <w:lang w:val="en-US"/>
        </w:rPr>
        <w:t xml:space="preserve">agittal T2-weighted </w:t>
      </w:r>
      <w:r>
        <w:rPr>
          <w:rStyle w:val="Strong"/>
          <w:lang w:val="en-US"/>
        </w:rPr>
        <w:t>MRI</w:t>
      </w:r>
      <w:r w:rsidRPr="00D40D63">
        <w:rPr>
          <w:rStyle w:val="Strong"/>
          <w:lang w:val="en-US"/>
        </w:rPr>
        <w:t>.</w:t>
      </w:r>
      <w:r w:rsidRPr="00D40D63">
        <w:t xml:space="preserve"> </w:t>
      </w:r>
      <w:r>
        <w:t>CCM</w:t>
      </w:r>
      <w:r w:rsidRPr="00D40D63">
        <w:t xml:space="preserve"> with a hemosiderin r</w:t>
      </w:r>
      <w:r>
        <w:t>im</w:t>
      </w:r>
      <w:r w:rsidRPr="00D40D63">
        <w:t xml:space="preserve"> (A), post</w:t>
      </w:r>
      <w:r>
        <w:t>operative image after complete resection</w:t>
      </w:r>
      <w:r w:rsidRPr="00D40D63">
        <w:t xml:space="preserve"> (B).</w:t>
      </w:r>
    </w:p>
    <w:p w:rsidR="00AF0922" w:rsidRPr="006D09B5" w:rsidRDefault="00AF0922" w:rsidP="00AF0922">
      <w:pPr>
        <w:spacing w:line="360" w:lineRule="auto"/>
        <w:jc w:val="both"/>
        <w:rPr>
          <w:rFonts w:eastAsiaTheme="minorEastAsia"/>
          <w:lang w:val="en-US"/>
        </w:rPr>
      </w:pPr>
    </w:p>
    <w:p w:rsidR="00AF0922" w:rsidRPr="006D09B5" w:rsidRDefault="00AF0922" w:rsidP="00AF0922">
      <w:pPr>
        <w:spacing w:line="360" w:lineRule="auto"/>
        <w:jc w:val="both"/>
        <w:rPr>
          <w:rFonts w:eastAsiaTheme="minorEastAsia"/>
          <w:b/>
          <w:bCs/>
          <w:lang w:val="en-US"/>
        </w:rPr>
      </w:pPr>
      <w:r w:rsidRPr="006D09B5">
        <w:rPr>
          <w:rFonts w:eastAsiaTheme="minorEastAsia"/>
          <w:b/>
          <w:bCs/>
          <w:noProof/>
          <w:lang w:val="sr-Latn-RS" w:eastAsia="sr-Latn-RS"/>
        </w:rPr>
        <w:drawing>
          <wp:inline distT="0" distB="0" distL="0" distR="0" wp14:anchorId="1FBE1AD6" wp14:editId="5B183D23">
            <wp:extent cx="5486400" cy="3200400"/>
            <wp:effectExtent l="0" t="0" r="1270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0922" w:rsidRPr="0045789A" w:rsidRDefault="00AF0922" w:rsidP="0045789A">
      <w:pPr>
        <w:pStyle w:val="NoSpacing"/>
      </w:pPr>
      <w:r w:rsidRPr="006D09B5">
        <w:t xml:space="preserve">Figure </w:t>
      </w:r>
      <w:r>
        <w:t>2</w:t>
      </w:r>
      <w:r w:rsidRPr="006D09B5">
        <w:t xml:space="preserve">. </w:t>
      </w:r>
      <w:proofErr w:type="spellStart"/>
      <w:r w:rsidRPr="006D09B5">
        <w:t>Radicality</w:t>
      </w:r>
      <w:proofErr w:type="spellEnd"/>
      <w:r w:rsidRPr="006D09B5">
        <w:t xml:space="preserve"> of hemosiderin </w:t>
      </w:r>
      <w:r>
        <w:t xml:space="preserve">rim </w:t>
      </w:r>
      <w:r w:rsidRPr="006D09B5">
        <w:t>re</w:t>
      </w:r>
      <w:r>
        <w:t>section</w:t>
      </w:r>
    </w:p>
    <w:p w:rsidR="0045789A" w:rsidRDefault="0045789A" w:rsidP="00AF0922">
      <w:pPr>
        <w:pStyle w:val="Heading1"/>
        <w:sectPr w:rsidR="0045789A" w:rsidSect="00AF0922">
          <w:type w:val="continuous"/>
          <w:pgSz w:w="11901" w:h="16817"/>
          <w:pgMar w:top="567" w:right="567" w:bottom="567" w:left="851" w:header="567" w:footer="567" w:gutter="0"/>
          <w:cols w:space="284"/>
          <w:titlePg/>
          <w:docGrid w:linePitch="360"/>
        </w:sectPr>
      </w:pPr>
    </w:p>
    <w:p w:rsidR="00AF0922" w:rsidRPr="006D09B5" w:rsidRDefault="00AF0922" w:rsidP="00AF0922">
      <w:pPr>
        <w:pStyle w:val="Heading1"/>
      </w:pPr>
      <w:r w:rsidRPr="006D09B5">
        <w:lastRenderedPageBreak/>
        <w:t xml:space="preserve">Discussion </w:t>
      </w:r>
    </w:p>
    <w:p w:rsidR="00AF0922" w:rsidRPr="00BD0825" w:rsidRDefault="00AF0922" w:rsidP="00AF0922">
      <w:pPr>
        <w:pStyle w:val="NoSpacing"/>
      </w:pPr>
      <w:r w:rsidRPr="006D09B5">
        <w:t>Surgical re</w:t>
      </w:r>
      <w:r>
        <w:t>section</w:t>
      </w:r>
      <w:r w:rsidRPr="006D09B5">
        <w:t xml:space="preserve"> of CCMs is an effective treatment for </w:t>
      </w:r>
      <w:proofErr w:type="spellStart"/>
      <w:r w:rsidRPr="006D09B5">
        <w:t>cavernoma</w:t>
      </w:r>
      <w:proofErr w:type="spellEnd"/>
      <w:r w:rsidRPr="006D09B5">
        <w:t>-</w:t>
      </w:r>
      <w:r>
        <w:t>related epileptic</w:t>
      </w:r>
      <w:r w:rsidRPr="006D09B5">
        <w:t xml:space="preserve"> seizures. </w:t>
      </w:r>
      <w:r w:rsidRPr="00BD0825">
        <w:t>This intervention has been shown to improve patients' quality of life compared to management with anticonvulsant medication alone (11).</w:t>
      </w:r>
    </w:p>
    <w:p w:rsidR="00AF0922" w:rsidRDefault="00AF0922" w:rsidP="00AF0922">
      <w:pPr>
        <w:pStyle w:val="NoSpacing"/>
      </w:pPr>
      <w:r w:rsidRPr="00BD0825">
        <w:t>Published studies report seizure freedom rates following surgical resection ranging from 65% to 95% (12–17). Our results, with an 88% seizure-free rate and 60% of patients successfully discontinuing anticonvulsants after a median follow-up of 3 years, are comparable to these findings.</w:t>
      </w:r>
    </w:p>
    <w:p w:rsidR="00AF0922" w:rsidRPr="00BD0825" w:rsidRDefault="00AF0922" w:rsidP="00AF0922">
      <w:pPr>
        <w:pStyle w:val="NoSpacing"/>
        <w:rPr>
          <w:rFonts w:eastAsiaTheme="minorEastAsia"/>
        </w:rPr>
      </w:pPr>
      <w:r w:rsidRPr="00BD0825">
        <w:rPr>
          <w:rFonts w:eastAsiaTheme="minorEastAsia"/>
        </w:rPr>
        <w:t xml:space="preserve">The overall surgical complication rate in our series was 8%, with new neurological deficits occurring in </w:t>
      </w:r>
      <w:r>
        <w:rPr>
          <w:rFonts w:eastAsiaTheme="minorEastAsia"/>
        </w:rPr>
        <w:t xml:space="preserve">only </w:t>
      </w:r>
      <w:r w:rsidRPr="00BD0825">
        <w:rPr>
          <w:rFonts w:eastAsiaTheme="minorEastAsia"/>
        </w:rPr>
        <w:t xml:space="preserve">2% of cases. Published reviews and meta-analyses report a surgical </w:t>
      </w:r>
      <w:r w:rsidRPr="00BD0825">
        <w:rPr>
          <w:rFonts w:eastAsiaTheme="minorEastAsia"/>
        </w:rPr>
        <w:lastRenderedPageBreak/>
        <w:t xml:space="preserve">complication rate of approximately 2.4% for </w:t>
      </w:r>
      <w:proofErr w:type="spellStart"/>
      <w:r w:rsidRPr="00BD0825">
        <w:rPr>
          <w:rFonts w:eastAsiaTheme="minorEastAsia"/>
        </w:rPr>
        <w:t>supratentorial</w:t>
      </w:r>
      <w:proofErr w:type="spellEnd"/>
      <w:r w:rsidRPr="00BD0825">
        <w:rPr>
          <w:rFonts w:eastAsiaTheme="minorEastAsia"/>
        </w:rPr>
        <w:t xml:space="preserve"> CCMs (18).</w:t>
      </w:r>
    </w:p>
    <w:p w:rsidR="00AF0922" w:rsidRPr="00BD0825" w:rsidRDefault="00AF0922" w:rsidP="00AF0922">
      <w:pPr>
        <w:pStyle w:val="NoSpacing"/>
        <w:rPr>
          <w:rFonts w:eastAsiaTheme="minorEastAsia"/>
        </w:rPr>
      </w:pPr>
      <w:r w:rsidRPr="00BD0825">
        <w:rPr>
          <w:rFonts w:eastAsiaTheme="minorEastAsia"/>
        </w:rPr>
        <w:t>According to ILAE guidelines, complete resection of the CCM is recommended, as incomplete removal is associated with an increased risk of hemorrhage recurrence and suboptimal seizure control (1, 19). Isolated resection of the CCM has been reported to result in complete seizure freedom in 50–70% of cases and improvement in up to 90% of cases (6, 20).</w:t>
      </w:r>
      <w:r w:rsidRPr="006D09B5">
        <w:rPr>
          <w:rFonts w:eastAsiaTheme="minorEastAsia"/>
        </w:rPr>
        <w:t xml:space="preserve"> </w:t>
      </w:r>
      <w:r w:rsidRPr="00BD0825">
        <w:rPr>
          <w:rFonts w:eastAsiaTheme="minorEastAsia"/>
        </w:rPr>
        <w:t xml:space="preserve">However, many surgeons believe that achieving optimal surgical outcomes in </w:t>
      </w:r>
      <w:proofErr w:type="spellStart"/>
      <w:r w:rsidRPr="00BD0825">
        <w:rPr>
          <w:rFonts w:eastAsiaTheme="minorEastAsia"/>
        </w:rPr>
        <w:t>cavernoma</w:t>
      </w:r>
      <w:proofErr w:type="spellEnd"/>
      <w:r w:rsidRPr="00BD0825">
        <w:rPr>
          <w:rFonts w:eastAsiaTheme="minorEastAsia"/>
        </w:rPr>
        <w:t>-associated epilepsy requires resection of the surrounding altered brain tissue in addition to the C</w:t>
      </w:r>
      <w:r>
        <w:rPr>
          <w:rFonts w:eastAsiaTheme="minorEastAsia"/>
        </w:rPr>
        <w:t>C</w:t>
      </w:r>
      <w:r w:rsidRPr="00BD0825">
        <w:rPr>
          <w:rFonts w:eastAsiaTheme="minorEastAsia"/>
        </w:rPr>
        <w:t>M. This view is based on the understanding that the C</w:t>
      </w:r>
      <w:r>
        <w:rPr>
          <w:rFonts w:eastAsiaTheme="minorEastAsia"/>
        </w:rPr>
        <w:t>C</w:t>
      </w:r>
      <w:r w:rsidRPr="00BD0825">
        <w:rPr>
          <w:rFonts w:eastAsiaTheme="minorEastAsia"/>
        </w:rPr>
        <w:t xml:space="preserve">M itself, lacking neuronal tissue and not exerting a mass effect on the brain, is unlikely to be the primary epileptogenic focus (21). Instead, the adjacent hemosiderin rim, gliosis, and </w:t>
      </w:r>
      <w:r w:rsidRPr="00BD0825">
        <w:rPr>
          <w:rFonts w:eastAsiaTheme="minorEastAsia"/>
        </w:rPr>
        <w:lastRenderedPageBreak/>
        <w:t xml:space="preserve">hyaline degeneration are thought to contribute to </w:t>
      </w:r>
      <w:proofErr w:type="spellStart"/>
      <w:r w:rsidRPr="00BD0825">
        <w:rPr>
          <w:rFonts w:eastAsiaTheme="minorEastAsia"/>
        </w:rPr>
        <w:t>epileptogenesis</w:t>
      </w:r>
      <w:proofErr w:type="spellEnd"/>
      <w:r w:rsidRPr="00BD0825">
        <w:rPr>
          <w:rFonts w:eastAsiaTheme="minorEastAsia"/>
        </w:rPr>
        <w:t xml:space="preserve"> (5, 21–27).</w:t>
      </w:r>
    </w:p>
    <w:p w:rsidR="00AF0922" w:rsidRPr="006D09B5" w:rsidRDefault="00AF0922" w:rsidP="00AF0922">
      <w:pPr>
        <w:pStyle w:val="NoSpacing"/>
        <w:rPr>
          <w:rFonts w:eastAsiaTheme="minorEastAsia"/>
        </w:rPr>
      </w:pPr>
      <w:r w:rsidRPr="00BD0825">
        <w:rPr>
          <w:rFonts w:eastAsiaTheme="minorEastAsia"/>
        </w:rPr>
        <w:t xml:space="preserve">Our study demonstrated a statistically significant correlation between radical resection of the hemosiderin rim and favorable epilepsy outcomes. While the meta-analysis by </w:t>
      </w:r>
      <w:proofErr w:type="spellStart"/>
      <w:r w:rsidRPr="00BD0825">
        <w:rPr>
          <w:rFonts w:eastAsiaTheme="minorEastAsia"/>
        </w:rPr>
        <w:t>Ruan</w:t>
      </w:r>
      <w:proofErr w:type="spellEnd"/>
      <w:r w:rsidRPr="00BD0825">
        <w:rPr>
          <w:rFonts w:eastAsiaTheme="minorEastAsia"/>
        </w:rPr>
        <w:t xml:space="preserve"> et al. (8) supports this finding, other evidence is less conclusive. A systematic review of 31 studies including 1,226 patients did not find such an association (28). Our literature review identified only six studies that analyzed the extent of hemosiderin rim resection using postoperative MRI and correlated it with epilepsy outcomes. Studies by </w:t>
      </w:r>
      <w:proofErr w:type="spellStart"/>
      <w:r w:rsidRPr="00BD0825">
        <w:rPr>
          <w:rFonts w:eastAsiaTheme="minorEastAsia"/>
        </w:rPr>
        <w:t>Damman</w:t>
      </w:r>
      <w:proofErr w:type="spellEnd"/>
      <w:r w:rsidRPr="00BD0825">
        <w:rPr>
          <w:rFonts w:eastAsiaTheme="minorEastAsia"/>
        </w:rPr>
        <w:t xml:space="preserve"> et al. (2016) (16) (n = 47), Jin et al. (2014) (29) (n = 36), and </w:t>
      </w:r>
      <w:proofErr w:type="spellStart"/>
      <w:r w:rsidRPr="00BD0825">
        <w:rPr>
          <w:rFonts w:eastAsiaTheme="minorEastAsia"/>
        </w:rPr>
        <w:t>Zanello</w:t>
      </w:r>
      <w:proofErr w:type="spellEnd"/>
      <w:r w:rsidRPr="00BD0825">
        <w:rPr>
          <w:rFonts w:eastAsiaTheme="minorEastAsia"/>
        </w:rPr>
        <w:t xml:space="preserve"> et al. (2019) (30) (n = 109) demonstrated a statistically significant benefit of removing the surrounding altered brain tissue. Earlier studies by </w:t>
      </w:r>
      <w:proofErr w:type="spellStart"/>
      <w:r w:rsidRPr="00BD0825">
        <w:rPr>
          <w:rFonts w:eastAsiaTheme="minorEastAsia"/>
        </w:rPr>
        <w:t>Yeon</w:t>
      </w:r>
      <w:proofErr w:type="spellEnd"/>
      <w:r w:rsidRPr="00BD0825">
        <w:rPr>
          <w:rFonts w:eastAsiaTheme="minorEastAsia"/>
        </w:rPr>
        <w:t xml:space="preserve"> et al. (2009) (31), </w:t>
      </w:r>
      <w:proofErr w:type="spellStart"/>
      <w:r w:rsidRPr="00BD0825">
        <w:rPr>
          <w:rFonts w:eastAsiaTheme="minorEastAsia"/>
        </w:rPr>
        <w:t>Hammen</w:t>
      </w:r>
      <w:proofErr w:type="spellEnd"/>
      <w:r w:rsidRPr="00BD0825">
        <w:rPr>
          <w:rFonts w:eastAsiaTheme="minorEastAsia"/>
        </w:rPr>
        <w:t xml:space="preserve"> et al. (2007) (32), and </w:t>
      </w:r>
      <w:proofErr w:type="spellStart"/>
      <w:r w:rsidRPr="00BD0825">
        <w:rPr>
          <w:rFonts w:eastAsiaTheme="minorEastAsia"/>
        </w:rPr>
        <w:t>Cappabianca</w:t>
      </w:r>
      <w:proofErr w:type="spellEnd"/>
      <w:r w:rsidRPr="00BD0825">
        <w:rPr>
          <w:rFonts w:eastAsiaTheme="minorEastAsia"/>
        </w:rPr>
        <w:t xml:space="preserve"> et al. (1997) (33) suggested a trend toward better outcomes with resection of the hemosiderin rim, although this did not reach statistical significance.</w:t>
      </w:r>
    </w:p>
    <w:p w:rsidR="00AF0922" w:rsidRPr="00AB7E9D" w:rsidRDefault="00AF0922" w:rsidP="00AF0922">
      <w:pPr>
        <w:pStyle w:val="NoSpacing"/>
        <w:rPr>
          <w:rFonts w:eastAsiaTheme="minorEastAsia"/>
        </w:rPr>
      </w:pPr>
      <w:r w:rsidRPr="00AB7E9D">
        <w:rPr>
          <w:rFonts w:eastAsiaTheme="minorEastAsia"/>
        </w:rPr>
        <w:t xml:space="preserve">Based on the concept of the </w:t>
      </w:r>
      <w:proofErr w:type="spellStart"/>
      <w:r w:rsidRPr="00AB7E9D">
        <w:rPr>
          <w:rFonts w:eastAsiaTheme="minorEastAsia"/>
        </w:rPr>
        <w:t>epileptogenicity</w:t>
      </w:r>
      <w:proofErr w:type="spellEnd"/>
      <w:r w:rsidRPr="00AB7E9D">
        <w:rPr>
          <w:rFonts w:eastAsiaTheme="minorEastAsia"/>
        </w:rPr>
        <w:t xml:space="preserve"> of the hemosiderin rim, </w:t>
      </w:r>
      <w:proofErr w:type="spellStart"/>
      <w:r w:rsidRPr="00AB7E9D">
        <w:rPr>
          <w:rFonts w:eastAsiaTheme="minorEastAsia"/>
        </w:rPr>
        <w:t>Damman</w:t>
      </w:r>
      <w:proofErr w:type="spellEnd"/>
      <w:r w:rsidRPr="00AB7E9D">
        <w:rPr>
          <w:rFonts w:eastAsiaTheme="minorEastAsia"/>
        </w:rPr>
        <w:t xml:space="preserve"> et al. hypothesized that earlier CCM removal contributes to better outcomes (16), as recurrent </w:t>
      </w:r>
      <w:proofErr w:type="spellStart"/>
      <w:r w:rsidRPr="00AB7E9D">
        <w:rPr>
          <w:rFonts w:eastAsiaTheme="minorEastAsia"/>
        </w:rPr>
        <w:t>microhemorrhages</w:t>
      </w:r>
      <w:proofErr w:type="spellEnd"/>
      <w:r w:rsidRPr="00AB7E9D">
        <w:rPr>
          <w:rFonts w:eastAsiaTheme="minorEastAsia"/>
        </w:rPr>
        <w:t xml:space="preserve"> increase the size of the surrounding altered brain tissue, complicating complete resection (2). Another potential explanation for worse epilepsy outcomes with longer disease duration is the development of secondary epileptogenic foci over time (34). In our study, we did not find a statistically significant association between disease duration and outcome. However, we observed a trend toward better outcomes in patients operated on earlier after symptom onset: in the group with satisfactory outcomes, the duration of the related medical history was 76/13.5(7;144), while in the group with unsatisfactory outcomes it was 137.7/108(90;144) (p=0.1). Most studies in our literature review identify earlier surgery as a significant factor associated with improved outcomes (7, 17, 32, 34–37).</w:t>
      </w:r>
    </w:p>
    <w:p w:rsidR="00AF0922" w:rsidRPr="00AB7E9D" w:rsidRDefault="00AF0922" w:rsidP="00AF0922">
      <w:pPr>
        <w:pStyle w:val="NoSpacing"/>
        <w:rPr>
          <w:rFonts w:eastAsiaTheme="minorEastAsia"/>
        </w:rPr>
      </w:pPr>
      <w:r w:rsidRPr="00AB7E9D">
        <w:rPr>
          <w:rFonts w:eastAsiaTheme="minorEastAsia"/>
        </w:rPr>
        <w:t>We found no significant differences in gender or age between the comparison groups, consistent with a previously published meta-analysis (28) and other studies on this topic (34, 38). However, Baumann et al. reported better outcomes in patients older than 30 years at the time of surgery (13).</w:t>
      </w:r>
    </w:p>
    <w:p w:rsidR="00AF0922" w:rsidRDefault="00AF0922" w:rsidP="00AF0922">
      <w:pPr>
        <w:pStyle w:val="NoSpacing"/>
        <w:rPr>
          <w:rFonts w:eastAsiaTheme="minorEastAsia"/>
        </w:rPr>
      </w:pPr>
      <w:r w:rsidRPr="00AB7E9D">
        <w:rPr>
          <w:rFonts w:eastAsiaTheme="minorEastAsia"/>
        </w:rPr>
        <w:lastRenderedPageBreak/>
        <w:t>Some authors suggest that a CCM diameter less than 15 mm is associated with improved seizure control at 2 years, but this association has not been observed in studies with longer follow-up (1, 13, 31). In our analysis of the effect of CCM size on surgical efficacy, we found no significant difference.</w:t>
      </w:r>
    </w:p>
    <w:p w:rsidR="00AF0922" w:rsidRPr="00AB7E9D" w:rsidRDefault="00AF0922" w:rsidP="00AF0922">
      <w:pPr>
        <w:pStyle w:val="NoSpacing"/>
        <w:rPr>
          <w:rFonts w:eastAsiaTheme="minorEastAsia"/>
        </w:rPr>
      </w:pPr>
      <w:proofErr w:type="spellStart"/>
      <w:r w:rsidRPr="00AB7E9D">
        <w:rPr>
          <w:rFonts w:eastAsiaTheme="minorEastAsia"/>
        </w:rPr>
        <w:t>Mesiotemporal</w:t>
      </w:r>
      <w:proofErr w:type="spellEnd"/>
      <w:r w:rsidRPr="00AB7E9D">
        <w:rPr>
          <w:rFonts w:eastAsiaTheme="minorEastAsia"/>
        </w:rPr>
        <w:t xml:space="preserve"> localization of CCM has been considered a risk factor for postoperative seizures in some studies. </w:t>
      </w:r>
      <w:proofErr w:type="spellStart"/>
      <w:r w:rsidRPr="00AB7E9D">
        <w:rPr>
          <w:rFonts w:eastAsiaTheme="minorEastAsia"/>
        </w:rPr>
        <w:t>Casazza</w:t>
      </w:r>
      <w:proofErr w:type="spellEnd"/>
      <w:r w:rsidRPr="00AB7E9D">
        <w:rPr>
          <w:rFonts w:eastAsiaTheme="minorEastAsia"/>
        </w:rPr>
        <w:t xml:space="preserve"> et al. (39) reported a correlation between </w:t>
      </w:r>
      <w:proofErr w:type="spellStart"/>
      <w:r w:rsidRPr="00AB7E9D">
        <w:rPr>
          <w:rFonts w:eastAsiaTheme="minorEastAsia"/>
        </w:rPr>
        <w:t>mesiotemporal</w:t>
      </w:r>
      <w:proofErr w:type="spellEnd"/>
      <w:r w:rsidRPr="00AB7E9D">
        <w:rPr>
          <w:rFonts w:eastAsiaTheme="minorEastAsia"/>
        </w:rPr>
        <w:t xml:space="preserve"> CCM location and persistent seizures, whereas </w:t>
      </w:r>
      <w:proofErr w:type="spellStart"/>
      <w:r w:rsidRPr="00AB7E9D">
        <w:rPr>
          <w:rFonts w:eastAsiaTheme="minorEastAsia"/>
        </w:rPr>
        <w:t>Yeon</w:t>
      </w:r>
      <w:proofErr w:type="spellEnd"/>
      <w:r w:rsidRPr="00AB7E9D">
        <w:rPr>
          <w:rFonts w:eastAsiaTheme="minorEastAsia"/>
        </w:rPr>
        <w:t xml:space="preserve"> et al. (31) and </w:t>
      </w:r>
      <w:proofErr w:type="spellStart"/>
      <w:r w:rsidRPr="00AB7E9D">
        <w:rPr>
          <w:rFonts w:eastAsiaTheme="minorEastAsia"/>
        </w:rPr>
        <w:t>Kivelev</w:t>
      </w:r>
      <w:proofErr w:type="spellEnd"/>
      <w:r w:rsidRPr="00AB7E9D">
        <w:rPr>
          <w:rFonts w:eastAsiaTheme="minorEastAsia"/>
        </w:rPr>
        <w:t xml:space="preserve"> et al. (40) did not confirm this finding. The literature suggests no clear relationship between CCM location within different brain lobes and surgical outcome (13). Consistent with this, we found no influence of CCM location on epilepsy outcomes in our study.</w:t>
      </w:r>
    </w:p>
    <w:p w:rsidR="00AF0922" w:rsidRPr="00AB7E9D" w:rsidRDefault="00AF0922" w:rsidP="00AF0922">
      <w:pPr>
        <w:pStyle w:val="NoSpacing"/>
        <w:rPr>
          <w:rFonts w:eastAsiaTheme="minorEastAsia"/>
        </w:rPr>
      </w:pPr>
      <w:r w:rsidRPr="00AB7E9D">
        <w:rPr>
          <w:rFonts w:eastAsiaTheme="minorEastAsia"/>
        </w:rPr>
        <w:t>The retrospective design, small sample size, and lack of randomization are limitations of this study.</w:t>
      </w:r>
    </w:p>
    <w:p w:rsidR="00AF0922" w:rsidRPr="006D09B5" w:rsidRDefault="00AF0922" w:rsidP="00AF0922">
      <w:pPr>
        <w:pStyle w:val="Heading1"/>
        <w:rPr>
          <w:rFonts w:eastAsiaTheme="minorEastAsia"/>
        </w:rPr>
      </w:pPr>
      <w:r>
        <w:rPr>
          <w:rFonts w:eastAsiaTheme="minorEastAsia"/>
        </w:rPr>
        <w:t>Conclusion</w:t>
      </w:r>
    </w:p>
    <w:p w:rsidR="00AF0922" w:rsidRDefault="00AF0922" w:rsidP="00AF0922">
      <w:pPr>
        <w:pStyle w:val="NoSpacing"/>
        <w:rPr>
          <w:rFonts w:eastAsiaTheme="minorEastAsia"/>
        </w:rPr>
      </w:pPr>
      <w:r w:rsidRPr="006D09B5">
        <w:rPr>
          <w:rFonts w:eastAsiaTheme="minorEastAsia"/>
        </w:rPr>
        <w:t xml:space="preserve">Surgical removal of CCMs is an effective treatment for </w:t>
      </w:r>
      <w:proofErr w:type="spellStart"/>
      <w:r w:rsidRPr="006D09B5">
        <w:rPr>
          <w:rFonts w:eastAsiaTheme="minorEastAsia"/>
        </w:rPr>
        <w:t>cavernoma</w:t>
      </w:r>
      <w:proofErr w:type="spellEnd"/>
      <w:r w:rsidRPr="006D09B5">
        <w:rPr>
          <w:rFonts w:eastAsiaTheme="minorEastAsia"/>
        </w:rPr>
        <w:t xml:space="preserve">-associated epilepsy with low risks of surgical complications. </w:t>
      </w:r>
      <w:r w:rsidRPr="00B82740">
        <w:rPr>
          <w:rFonts w:eastAsiaTheme="minorEastAsia"/>
        </w:rPr>
        <w:t xml:space="preserve">Our study demonstrated that 88% of patients achieved seizure freedom after </w:t>
      </w:r>
      <w:proofErr w:type="spellStart"/>
      <w:r w:rsidRPr="00B82740">
        <w:rPr>
          <w:rFonts w:eastAsiaTheme="minorEastAsia"/>
        </w:rPr>
        <w:t>supratentorial</w:t>
      </w:r>
      <w:proofErr w:type="spellEnd"/>
      <w:r w:rsidRPr="00B82740">
        <w:rPr>
          <w:rFonts w:eastAsiaTheme="minorEastAsia"/>
        </w:rPr>
        <w:t xml:space="preserve"> CCM resection, with 60% of patients successfully discontinuing anticonvulsant medication.</w:t>
      </w:r>
      <w:r>
        <w:rPr>
          <w:rFonts w:eastAsiaTheme="minorEastAsia"/>
        </w:rPr>
        <w:t xml:space="preserve"> </w:t>
      </w:r>
      <w:r w:rsidRPr="00B82740">
        <w:rPr>
          <w:rFonts w:eastAsiaTheme="minorEastAsia"/>
        </w:rPr>
        <w:t xml:space="preserve">Infrequent seizures (Engel class </w:t>
      </w:r>
      <w:r>
        <w:rPr>
          <w:rFonts w:eastAsiaTheme="minorEastAsia"/>
        </w:rPr>
        <w:t>2</w:t>
      </w:r>
      <w:r w:rsidRPr="00B82740">
        <w:rPr>
          <w:rFonts w:eastAsiaTheme="minorEastAsia"/>
        </w:rPr>
        <w:t>) persisted in 8% of patients, and 4% experienced no change in seizure frequency after surgery.</w:t>
      </w:r>
      <w:r w:rsidRPr="006D09B5">
        <w:rPr>
          <w:rFonts w:eastAsiaTheme="minorEastAsia"/>
        </w:rPr>
        <w:t xml:space="preserve"> Complete re</w:t>
      </w:r>
      <w:r>
        <w:rPr>
          <w:rFonts w:eastAsiaTheme="minorEastAsia"/>
        </w:rPr>
        <w:t>section</w:t>
      </w:r>
      <w:r w:rsidRPr="006D09B5">
        <w:rPr>
          <w:rFonts w:eastAsiaTheme="minorEastAsia"/>
        </w:rPr>
        <w:t xml:space="preserve"> of the hemosiderin ri</w:t>
      </w:r>
      <w:r>
        <w:rPr>
          <w:rFonts w:eastAsiaTheme="minorEastAsia"/>
        </w:rPr>
        <w:t>m</w:t>
      </w:r>
      <w:r w:rsidRPr="006D09B5">
        <w:rPr>
          <w:rFonts w:eastAsiaTheme="minorEastAsia"/>
        </w:rPr>
        <w:t xml:space="preserve"> </w:t>
      </w:r>
      <w:r>
        <w:rPr>
          <w:rFonts w:eastAsiaTheme="minorEastAsia"/>
        </w:rPr>
        <w:t>surrounding</w:t>
      </w:r>
      <w:r w:rsidRPr="006D09B5">
        <w:rPr>
          <w:rFonts w:eastAsiaTheme="minorEastAsia"/>
        </w:rPr>
        <w:t xml:space="preserve"> the CCM is a favorable prognostic factor for </w:t>
      </w:r>
      <w:r>
        <w:rPr>
          <w:rFonts w:eastAsiaTheme="minorEastAsia"/>
        </w:rPr>
        <w:t>seizure control in this patient population.</w:t>
      </w:r>
    </w:p>
    <w:p w:rsidR="00AF0922" w:rsidRDefault="00AF0922" w:rsidP="00AF0922">
      <w:pPr>
        <w:rPr>
          <w:lang w:val="sr-Latn-RS" w:eastAsia="en-US" w:bidi="ar-SA"/>
        </w:rPr>
      </w:pPr>
    </w:p>
    <w:p w:rsidR="00AF0922" w:rsidRPr="00FB1BE9" w:rsidRDefault="00AF0922" w:rsidP="00AF0922">
      <w:pPr>
        <w:pStyle w:val="Heading1"/>
        <w:rPr>
          <w:rStyle w:val="PlaceholderText"/>
          <w:b w:val="0"/>
          <w:bCs/>
          <w:color w:val="333333"/>
          <w:shd w:val="clear" w:color="auto" w:fill="FFFFFF"/>
          <w:lang w:val="en-US"/>
        </w:rPr>
      </w:pPr>
      <w:r w:rsidRPr="00FB1BE9">
        <w:rPr>
          <w:rStyle w:val="PlaceholderText"/>
          <w:bCs/>
          <w:color w:val="333333"/>
          <w:shd w:val="clear" w:color="auto" w:fill="FFFFFF"/>
          <w:lang w:val="en-US"/>
        </w:rPr>
        <w:t>Disclosures</w:t>
      </w:r>
    </w:p>
    <w:p w:rsidR="00AF0922" w:rsidRPr="00FB1BE9" w:rsidRDefault="00AF0922" w:rsidP="00AF0922">
      <w:pPr>
        <w:pStyle w:val="NoSpacing"/>
        <w:rPr>
          <w:rStyle w:val="PlaceholderText"/>
          <w:color w:val="333333"/>
          <w:shd w:val="clear" w:color="auto" w:fill="FFFFFF"/>
          <w:lang w:val="en-US"/>
        </w:rPr>
      </w:pPr>
      <w:r w:rsidRPr="00FB1BE9">
        <w:rPr>
          <w:rStyle w:val="PlaceholderText"/>
          <w:b/>
          <w:bCs/>
          <w:color w:val="333333"/>
          <w:shd w:val="clear" w:color="auto" w:fill="FFFFFF"/>
          <w:lang w:val="en-US"/>
        </w:rPr>
        <w:t xml:space="preserve">Funding: </w:t>
      </w:r>
      <w:r w:rsidRPr="00FB1BE9">
        <w:rPr>
          <w:rStyle w:val="PlaceholderText"/>
          <w:color w:val="333333"/>
          <w:shd w:val="clear" w:color="auto" w:fill="FFFFFF"/>
          <w:lang w:val="en-US"/>
        </w:rPr>
        <w:t xml:space="preserve">No funding was received for this </w:t>
      </w:r>
      <w:proofErr w:type="spellStart"/>
      <w:r w:rsidRPr="00FB1BE9">
        <w:rPr>
          <w:rStyle w:val="PlaceholderText"/>
          <w:color w:val="333333"/>
          <w:shd w:val="clear" w:color="auto" w:fill="FFFFFF"/>
          <w:lang w:val="en-US"/>
        </w:rPr>
        <w:t>reseach</w:t>
      </w:r>
      <w:proofErr w:type="spellEnd"/>
      <w:r w:rsidRPr="00FB1BE9">
        <w:rPr>
          <w:rStyle w:val="PlaceholderText"/>
          <w:color w:val="333333"/>
          <w:shd w:val="clear" w:color="auto" w:fill="FFFFFF"/>
          <w:lang w:val="en-US"/>
        </w:rPr>
        <w:t>.</w:t>
      </w:r>
    </w:p>
    <w:p w:rsidR="00AF0922" w:rsidRPr="00FB1BE9" w:rsidRDefault="00AF0922" w:rsidP="00AF0922">
      <w:pPr>
        <w:pStyle w:val="NoSpacing"/>
        <w:rPr>
          <w:rStyle w:val="PlaceholderText"/>
          <w:color w:val="333333"/>
          <w:shd w:val="clear" w:color="auto" w:fill="FFFFFF"/>
          <w:lang w:val="en-US"/>
        </w:rPr>
      </w:pPr>
      <w:r w:rsidRPr="00FB1BE9">
        <w:rPr>
          <w:rStyle w:val="PlaceholderText"/>
          <w:b/>
          <w:bCs/>
          <w:color w:val="333333"/>
          <w:shd w:val="clear" w:color="auto" w:fill="FFFFFF"/>
          <w:lang w:val="en-US"/>
        </w:rPr>
        <w:t xml:space="preserve">Conflict of Interest: </w:t>
      </w:r>
      <w:r w:rsidRPr="00FB1BE9">
        <w:rPr>
          <w:rStyle w:val="PlaceholderText"/>
          <w:color w:val="333333"/>
          <w:shd w:val="clear" w:color="auto" w:fill="FFFFFF"/>
          <w:lang w:val="en-US"/>
        </w:rPr>
        <w:t>The authors declare no potential conflicts of interest.</w:t>
      </w:r>
    </w:p>
    <w:p w:rsidR="00AF0922" w:rsidRPr="00FB1BE9" w:rsidRDefault="00AF0922" w:rsidP="00AF0922">
      <w:pPr>
        <w:pStyle w:val="NoSpacing"/>
        <w:rPr>
          <w:rStyle w:val="PlaceholderText"/>
          <w:color w:val="333333"/>
          <w:shd w:val="clear" w:color="auto" w:fill="FFFFFF"/>
          <w:lang w:val="en-US"/>
        </w:rPr>
      </w:pPr>
      <w:r w:rsidRPr="00FB1BE9">
        <w:rPr>
          <w:rStyle w:val="PlaceholderText"/>
          <w:b/>
          <w:bCs/>
          <w:color w:val="333333"/>
          <w:shd w:val="clear" w:color="auto" w:fill="FFFFFF"/>
          <w:lang w:val="en-US"/>
        </w:rPr>
        <w:t xml:space="preserve">Ethics &amp; Patient consent: </w:t>
      </w:r>
      <w:r w:rsidRPr="00FB1BE9">
        <w:rPr>
          <w:rStyle w:val="PlaceholderText"/>
          <w:color w:val="333333"/>
          <w:shd w:val="clear" w:color="auto" w:fill="FFFFFF"/>
          <w:lang w:val="en-US"/>
        </w:rPr>
        <w:t xml:space="preserve">All studies were approved by a local ethics committee of FSBI “Federal Neurosurgical Center”, Novosibirsk, Russia </w:t>
      </w:r>
    </w:p>
    <w:p w:rsidR="0045789A" w:rsidRDefault="0045789A" w:rsidP="00AF0922">
      <w:pPr>
        <w:rPr>
          <w:lang w:val="sr-Latn-RS" w:eastAsia="en-US" w:bidi="ar-SA"/>
        </w:rPr>
        <w:sectPr w:rsidR="0045789A" w:rsidSect="0045789A">
          <w:type w:val="continuous"/>
          <w:pgSz w:w="11901" w:h="16817"/>
          <w:pgMar w:top="567" w:right="567" w:bottom="567" w:left="851" w:header="567" w:footer="567" w:gutter="0"/>
          <w:cols w:num="2" w:space="284"/>
          <w:titlePg/>
          <w:docGrid w:linePitch="360"/>
        </w:sectPr>
      </w:pPr>
    </w:p>
    <w:p w:rsidR="00AF0922" w:rsidRDefault="00AF0922" w:rsidP="00AF0922">
      <w:pPr>
        <w:rPr>
          <w:lang w:val="sr-Latn-RS" w:eastAsia="en-US" w:bidi="ar-SA"/>
        </w:rPr>
      </w:pPr>
    </w:p>
    <w:tbl>
      <w:tblPr>
        <w:tblpPr w:leftFromText="180" w:rightFromText="180" w:vertAnchor="text" w:horzAnchor="margin" w:tblpY="-52"/>
        <w:tblW w:w="0" w:type="auto"/>
        <w:tblCellMar>
          <w:top w:w="57" w:type="dxa"/>
          <w:left w:w="113" w:type="dxa"/>
          <w:bottom w:w="57" w:type="dxa"/>
          <w:right w:w="113" w:type="dxa"/>
        </w:tblCellMar>
        <w:tblLook w:val="04A0" w:firstRow="1" w:lastRow="0" w:firstColumn="1" w:lastColumn="0" w:noHBand="0" w:noVBand="1"/>
      </w:tblPr>
      <w:tblGrid>
        <w:gridCol w:w="581"/>
        <w:gridCol w:w="4521"/>
      </w:tblGrid>
      <w:tr w:rsidR="00AF0922" w:rsidRPr="00AD1FE2" w:rsidTr="00AF0922">
        <w:trPr>
          <w:cantSplit/>
        </w:trPr>
        <w:tc>
          <w:tcPr>
            <w:tcW w:w="5102" w:type="dxa"/>
            <w:gridSpan w:val="2"/>
            <w:shd w:val="clear" w:color="auto" w:fill="2E74B5" w:themeFill="accent1" w:themeFillShade="BF"/>
          </w:tcPr>
          <w:p w:rsidR="00AF0922" w:rsidRPr="00AD1FE2" w:rsidRDefault="00AF0922" w:rsidP="00AF0922">
            <w:pPr>
              <w:pStyle w:val="Heading1"/>
              <w:rPr>
                <w:rFonts w:asciiTheme="minorHAnsi" w:hAnsiTheme="minorHAnsi" w:cstheme="minorHAnsi"/>
                <w:lang w:val="en-US"/>
              </w:rPr>
            </w:pPr>
            <w:r w:rsidRPr="00AD1FE2">
              <w:rPr>
                <w:rFonts w:asciiTheme="minorHAnsi" w:hAnsiTheme="minorHAnsi" w:cstheme="minorHAnsi"/>
                <w:color w:val="FFFFFF" w:themeColor="background1"/>
                <w:lang w:val="en-US"/>
              </w:rPr>
              <w:t>Correspondence</w:t>
            </w:r>
          </w:p>
        </w:tc>
      </w:tr>
      <w:tr w:rsidR="00AF0922" w:rsidRPr="00AD1FE2" w:rsidTr="00AF0922">
        <w:trPr>
          <w:cantSplit/>
        </w:trPr>
        <w:tc>
          <w:tcPr>
            <w:tcW w:w="581" w:type="dxa"/>
            <w:shd w:val="clear" w:color="auto" w:fill="DEEAF6" w:themeFill="accent1" w:themeFillTint="33"/>
          </w:tcPr>
          <w:p w:rsidR="00AF0922" w:rsidRPr="00AD1FE2" w:rsidRDefault="00AF0922" w:rsidP="00AF0922">
            <w:pPr>
              <w:jc w:val="center"/>
              <w:rPr>
                <w:rFonts w:ascii="Times New Roman" w:hAnsi="Times New Roman" w:cs="Times New Roman"/>
                <w:b/>
                <w:bCs/>
                <w:szCs w:val="20"/>
                <w:lang w:val="en-US"/>
              </w:rPr>
            </w:pPr>
          </w:p>
        </w:tc>
        <w:tc>
          <w:tcPr>
            <w:tcW w:w="4521" w:type="dxa"/>
            <w:shd w:val="clear" w:color="auto" w:fill="DEEAF6" w:themeFill="accent1" w:themeFillTint="33"/>
          </w:tcPr>
          <w:p w:rsidR="00AF0922" w:rsidRPr="00CE4641" w:rsidRDefault="00AF0922" w:rsidP="00AF0922">
            <w:pPr>
              <w:spacing w:line="360" w:lineRule="auto"/>
              <w:rPr>
                <w:lang w:val="en-US"/>
              </w:rPr>
            </w:pPr>
            <w:r w:rsidRPr="00FB1BE9">
              <w:rPr>
                <w:lang w:val="en-US"/>
              </w:rPr>
              <w:t xml:space="preserve">Dmitry </w:t>
            </w:r>
            <w:proofErr w:type="spellStart"/>
            <w:r w:rsidRPr="00FB1BE9">
              <w:rPr>
                <w:lang w:val="en-US"/>
              </w:rPr>
              <w:t>Galaktionov</w:t>
            </w:r>
            <w:proofErr w:type="spellEnd"/>
            <w:r w:rsidRPr="00FB1BE9">
              <w:rPr>
                <w:lang w:val="en-US"/>
              </w:rPr>
              <w:t>, MD, PhD</w:t>
            </w:r>
          </w:p>
        </w:tc>
      </w:tr>
      <w:tr w:rsidR="00AF0922" w:rsidRPr="00AD1FE2" w:rsidTr="00AF0922">
        <w:trPr>
          <w:cantSplit/>
        </w:trPr>
        <w:tc>
          <w:tcPr>
            <w:tcW w:w="581" w:type="dxa"/>
            <w:shd w:val="clear" w:color="auto" w:fill="DEEAF6" w:themeFill="accent1" w:themeFillTint="33"/>
          </w:tcPr>
          <w:p w:rsidR="00AF0922" w:rsidRPr="00AD1FE2" w:rsidRDefault="00AF0922" w:rsidP="00AF0922">
            <w:pPr>
              <w:jc w:val="center"/>
              <w:rPr>
                <w:rFonts w:ascii="Segoe UI Symbol" w:hAnsi="Segoe UI Symbol" w:cs="Apple Color Emoji"/>
                <w:szCs w:val="20"/>
                <w:lang w:val="en-US"/>
              </w:rPr>
            </w:pPr>
            <w:r w:rsidRPr="00AD1FE2">
              <w:rPr>
                <w:rFonts w:ascii="Segoe UI Symbol" w:hAnsi="Segoe UI Symbol" w:cs="Apple Color Emoji"/>
                <w:szCs w:val="20"/>
                <w:lang w:val="en-US"/>
              </w:rPr>
              <w:t>✉</w:t>
            </w:r>
          </w:p>
        </w:tc>
        <w:tc>
          <w:tcPr>
            <w:tcW w:w="4521" w:type="dxa"/>
            <w:shd w:val="clear" w:color="auto" w:fill="DEEAF6" w:themeFill="accent1" w:themeFillTint="33"/>
          </w:tcPr>
          <w:p w:rsidR="00AF0922" w:rsidRDefault="00AF0922" w:rsidP="00AF0922">
            <w:pPr>
              <w:rPr>
                <w:rFonts w:cstheme="minorHAnsi"/>
                <w:szCs w:val="20"/>
                <w:lang w:val="en-US"/>
              </w:rPr>
            </w:pPr>
            <w:r>
              <w:rPr>
                <w:rFonts w:cstheme="minorHAnsi"/>
                <w:szCs w:val="20"/>
                <w:lang w:val="en-US"/>
              </w:rPr>
              <w:t xml:space="preserve">Federal Neurosurgical Center, Novosibirsk, Russia, </w:t>
            </w:r>
          </w:p>
          <w:p w:rsidR="00AF0922" w:rsidRPr="00AD1FE2" w:rsidRDefault="00AF0922" w:rsidP="00AF0922">
            <w:pPr>
              <w:rPr>
                <w:rFonts w:cstheme="minorHAnsi"/>
                <w:szCs w:val="20"/>
                <w:lang w:val="en-US"/>
              </w:rPr>
            </w:pPr>
            <w:proofErr w:type="spellStart"/>
            <w:r>
              <w:rPr>
                <w:rFonts w:cstheme="minorHAnsi"/>
                <w:szCs w:val="20"/>
                <w:lang w:val="en-US"/>
              </w:rPr>
              <w:t>Nemirovicha-Danchenko</w:t>
            </w:r>
            <w:proofErr w:type="spellEnd"/>
            <w:r>
              <w:rPr>
                <w:rFonts w:cstheme="minorHAnsi"/>
                <w:szCs w:val="20"/>
                <w:lang w:val="en-US"/>
              </w:rPr>
              <w:t xml:space="preserve"> 132/1, 630087 Novosibirsk, Russia</w:t>
            </w:r>
          </w:p>
        </w:tc>
      </w:tr>
      <w:tr w:rsidR="00AF0922" w:rsidRPr="00AD1FE2" w:rsidTr="00AF0922">
        <w:trPr>
          <w:cantSplit/>
        </w:trPr>
        <w:tc>
          <w:tcPr>
            <w:tcW w:w="581" w:type="dxa"/>
            <w:shd w:val="clear" w:color="auto" w:fill="DEEAF6" w:themeFill="accent1" w:themeFillTint="33"/>
          </w:tcPr>
          <w:p w:rsidR="00AF0922" w:rsidRPr="00AD1FE2" w:rsidRDefault="00AF0922" w:rsidP="00AF0922">
            <w:pPr>
              <w:jc w:val="center"/>
              <w:rPr>
                <w:rFonts w:ascii="Segoe UI Symbol" w:hAnsi="Segoe UI Symbol" w:cs="Apple Color Emoji"/>
                <w:szCs w:val="20"/>
                <w:lang w:val="en-US"/>
              </w:rPr>
            </w:pPr>
            <w:r w:rsidRPr="00AD1FE2">
              <w:rPr>
                <w:rFonts w:ascii="Segoe UI Symbol" w:hAnsi="Segoe UI Symbol" w:cs="Segoe UI Symbol"/>
                <w:szCs w:val="20"/>
                <w:lang w:val="en-US"/>
              </w:rPr>
              <w:t>☏</w:t>
            </w:r>
          </w:p>
        </w:tc>
        <w:tc>
          <w:tcPr>
            <w:tcW w:w="4521" w:type="dxa"/>
            <w:shd w:val="clear" w:color="auto" w:fill="DEEAF6" w:themeFill="accent1" w:themeFillTint="33"/>
          </w:tcPr>
          <w:p w:rsidR="00AF0922" w:rsidRPr="00CE4641" w:rsidRDefault="00AF0922" w:rsidP="00AF0922">
            <w:pPr>
              <w:rPr>
                <w:rFonts w:cstheme="minorHAnsi"/>
                <w:szCs w:val="20"/>
                <w:lang w:val="sr-Latn-RS"/>
              </w:rPr>
            </w:pPr>
            <w:r>
              <w:rPr>
                <w:rFonts w:cstheme="minorHAnsi"/>
                <w:szCs w:val="20"/>
                <w:lang w:val="en-US"/>
              </w:rPr>
              <w:t>+7(913)0682622</w:t>
            </w:r>
          </w:p>
        </w:tc>
      </w:tr>
      <w:tr w:rsidR="00AF0922" w:rsidRPr="00AD1FE2" w:rsidTr="00AF0922">
        <w:trPr>
          <w:cantSplit/>
        </w:trPr>
        <w:tc>
          <w:tcPr>
            <w:tcW w:w="581" w:type="dxa"/>
            <w:tcBorders>
              <w:bottom w:val="single" w:sz="12" w:space="0" w:color="5B9BD5" w:themeColor="accent1"/>
            </w:tcBorders>
            <w:shd w:val="clear" w:color="auto" w:fill="DEEAF6" w:themeFill="accent1" w:themeFillTint="33"/>
          </w:tcPr>
          <w:p w:rsidR="00AF0922" w:rsidRPr="00AD1FE2" w:rsidRDefault="00AF0922" w:rsidP="00AF0922">
            <w:pPr>
              <w:jc w:val="center"/>
              <w:rPr>
                <w:rFonts w:ascii="Segoe UI Symbol" w:hAnsi="Segoe UI Symbol" w:cs="Apple Color Emoji"/>
                <w:szCs w:val="20"/>
                <w:lang w:val="en-US"/>
              </w:rPr>
            </w:pPr>
            <w:r w:rsidRPr="00AD1FE2">
              <w:rPr>
                <w:rFonts w:ascii="Segoe UI Symbol" w:hAnsi="Segoe UI Symbol" w:cs="Times New Roman"/>
                <w:szCs w:val="20"/>
                <w:lang w:val="en-US"/>
              </w:rPr>
              <w:t>@</w:t>
            </w:r>
          </w:p>
        </w:tc>
        <w:tc>
          <w:tcPr>
            <w:tcW w:w="4521" w:type="dxa"/>
            <w:tcBorders>
              <w:bottom w:val="single" w:sz="12" w:space="0" w:color="5B9BD5" w:themeColor="accent1"/>
            </w:tcBorders>
            <w:shd w:val="clear" w:color="auto" w:fill="DEEAF6" w:themeFill="accent1" w:themeFillTint="33"/>
          </w:tcPr>
          <w:p w:rsidR="00AF0922" w:rsidRPr="00AD1FE2" w:rsidRDefault="00AF0922" w:rsidP="00AF0922">
            <w:pPr>
              <w:rPr>
                <w:rFonts w:cstheme="minorHAnsi"/>
                <w:szCs w:val="20"/>
                <w:lang w:val="en-US"/>
              </w:rPr>
            </w:pPr>
            <w:r>
              <w:rPr>
                <w:rFonts w:cstheme="minorHAnsi"/>
                <w:szCs w:val="20"/>
                <w:lang w:val="en-US"/>
              </w:rPr>
              <w:t>galaktionovd@gmail.com</w:t>
            </w:r>
          </w:p>
        </w:tc>
      </w:tr>
    </w:tbl>
    <w:p w:rsidR="00AF0922" w:rsidRPr="00AF0922" w:rsidRDefault="00AF0922" w:rsidP="0045789A">
      <w:pPr>
        <w:ind w:left="0"/>
        <w:rPr>
          <w:lang w:val="sr-Latn-RS" w:eastAsia="en-US" w:bidi="ar-SA"/>
        </w:rPr>
        <w:sectPr w:rsidR="00AF0922" w:rsidRPr="00AF0922" w:rsidSect="00AF0922">
          <w:type w:val="continuous"/>
          <w:pgSz w:w="11901" w:h="16817"/>
          <w:pgMar w:top="567" w:right="567" w:bottom="567" w:left="851" w:header="567" w:footer="567" w:gutter="0"/>
          <w:cols w:space="284"/>
          <w:titlePg/>
          <w:docGrid w:linePitch="360"/>
        </w:sectPr>
      </w:pPr>
    </w:p>
    <w:p w:rsidR="0045789A" w:rsidRPr="0045789A" w:rsidRDefault="0045789A" w:rsidP="0045789A">
      <w:pPr>
        <w:pStyle w:val="Heading1"/>
        <w:ind w:left="0"/>
        <w:rPr>
          <w:color w:val="1F4E79" w:themeColor="accent1" w:themeShade="80"/>
        </w:rPr>
      </w:pPr>
      <w:r w:rsidRPr="0045789A">
        <w:rPr>
          <w:color w:val="1F4E79" w:themeColor="accent1" w:themeShade="80"/>
        </w:rPr>
        <w:lastRenderedPageBreak/>
        <w:t>References</w:t>
      </w:r>
    </w:p>
    <w:p w:rsidR="0045789A" w:rsidRPr="0045789A" w:rsidRDefault="0045789A" w:rsidP="0045789A">
      <w:pPr>
        <w:pStyle w:val="NoSpacing"/>
        <w:numPr>
          <w:ilvl w:val="0"/>
          <w:numId w:val="39"/>
        </w:numPr>
      </w:pPr>
      <w:bookmarkStart w:id="0" w:name="_GoBack"/>
      <w:r w:rsidRPr="0045789A">
        <w:t xml:space="preserve">Rosenow F, Alonso-Vanegas MA, Baumgartner C, Blümcke I, Carreño M, Gizewski ER, et al. Cavernoma-related epilepsy: Review and recommendations for management - Report of the Surgical Task Force of the ILAE Commission on Therapeutic Strategies. Vol. 54, Epilepsia. 2013. p. 2025–35. </w:t>
      </w:r>
    </w:p>
    <w:p w:rsidR="0045789A" w:rsidRPr="0045789A" w:rsidRDefault="0045789A" w:rsidP="0045789A">
      <w:pPr>
        <w:pStyle w:val="NoSpacing"/>
        <w:numPr>
          <w:ilvl w:val="0"/>
          <w:numId w:val="39"/>
        </w:numPr>
      </w:pPr>
      <w:r w:rsidRPr="0045789A">
        <w:t>Dammann P, Quesada CCM, Sato T, Sure U. Cavernoma-Related Epilepsy. In: Cavernomas of the CNS [Internet]. Springer, Cham; 2020 [cited 2022 Jun 24]. p. 103–14. Available from: https://link.springer.com/chapter/10.1007/978-3-030-49406-3_8</w:t>
      </w:r>
    </w:p>
    <w:p w:rsidR="0045789A" w:rsidRPr="0045789A" w:rsidRDefault="0045789A" w:rsidP="0045789A">
      <w:pPr>
        <w:pStyle w:val="NoSpacing"/>
        <w:numPr>
          <w:ilvl w:val="0"/>
          <w:numId w:val="39"/>
        </w:numPr>
      </w:pPr>
      <w:r w:rsidRPr="0045789A">
        <w:t>Kashida Y, Usui N, Matsuda K, Terada K, Baba K, Kondo A, et al. Is additional mesial temporal resection necessary for intractable epilepsy with cavernous malformations in the temporal neocortex? Epilepsy Behav [Internet]. 2019;92:145–53. Available from: https://doi.org/10.1016/j.yebeh.2018.12.024</w:t>
      </w:r>
    </w:p>
    <w:p w:rsidR="0045789A" w:rsidRPr="0045789A" w:rsidRDefault="0045789A" w:rsidP="0045789A">
      <w:pPr>
        <w:pStyle w:val="NoSpacing"/>
        <w:numPr>
          <w:ilvl w:val="0"/>
          <w:numId w:val="39"/>
        </w:numPr>
      </w:pPr>
      <w:r w:rsidRPr="0045789A">
        <w:t xml:space="preserve">Shang-Guan HC, Wu ZY, Yao P Sen, Chen GR, Zheng SF, Kang DZ. Is Extended Lesionectomy Needed for Patients with Cerebral Cavernous Malformations Presenting with Epilepsy? A Meta-Analysis. World Neurosurg. 2018 Dec 1;120:e984–90. </w:t>
      </w:r>
    </w:p>
    <w:p w:rsidR="0045789A" w:rsidRPr="0045789A" w:rsidRDefault="0045789A" w:rsidP="0045789A">
      <w:pPr>
        <w:pStyle w:val="NoSpacing"/>
        <w:numPr>
          <w:ilvl w:val="0"/>
          <w:numId w:val="39"/>
        </w:numPr>
      </w:pPr>
      <w:r w:rsidRPr="0045789A">
        <w:t>Dammann P, Schaller C, Sure U. Should we resect peri-lesional hemosiderin deposits when performing lesionectomy in patients with cavernoma-related epilepsy (CRE)? Neurosurg Rev [Internet]. 2017;40(1):39–43. Available from: http://dx.doi.org/10.1007/s10143-016-0797-5</w:t>
      </w:r>
    </w:p>
    <w:p w:rsidR="0045789A" w:rsidRPr="0045789A" w:rsidRDefault="0045789A" w:rsidP="0045789A">
      <w:pPr>
        <w:pStyle w:val="NoSpacing"/>
        <w:numPr>
          <w:ilvl w:val="0"/>
          <w:numId w:val="39"/>
        </w:numPr>
      </w:pPr>
      <w:r w:rsidRPr="0045789A">
        <w:t xml:space="preserve">Okishev DN, Belousova OB, Shekhtman OD, Eliava SS, Sazonova OB, Kopachev DN. Amygdalohippocampectomy in treatment of epilepsy in patients with temporal lobe cavernomas. Zh Vopr Neirokhir Im N N Burdenko. 2016;80(1):35–43. </w:t>
      </w:r>
    </w:p>
    <w:p w:rsidR="0045789A" w:rsidRPr="0045789A" w:rsidRDefault="0045789A" w:rsidP="0045789A">
      <w:pPr>
        <w:pStyle w:val="NoSpacing"/>
        <w:numPr>
          <w:ilvl w:val="0"/>
          <w:numId w:val="39"/>
        </w:numPr>
      </w:pPr>
      <w:r w:rsidRPr="0045789A">
        <w:t>Shan YZ, Fan XT, Meng L, An Y, Xu JK, Zhao GG. Treatment and outcome of epileptogenic temporal cavernous malformations. Chin Med J (Engl) [Internet]. 2015 Apr [cited 2020 Feb 3];128(7):909–13. Available from: http://insights.ovid.com/crossref?an=00029330-201504050-00010</w:t>
      </w:r>
    </w:p>
    <w:p w:rsidR="0045789A" w:rsidRPr="0045789A" w:rsidRDefault="0045789A" w:rsidP="0045789A">
      <w:pPr>
        <w:pStyle w:val="NoSpacing"/>
        <w:numPr>
          <w:ilvl w:val="0"/>
          <w:numId w:val="39"/>
        </w:numPr>
      </w:pPr>
      <w:r w:rsidRPr="0045789A">
        <w:lastRenderedPageBreak/>
        <w:t>Ruan D, Yu X-BB, Shrestha S, Wang L, Chen G. The role of hemosiderin excision in seizure outcome in cerebral cavernous malformation surgery: A systematic review and meta-analysis [Internet]. PLoS ONE Public Library of Science; Aug 25, 2015 p. e0136619. Available from: https://journals.plos.org/plosone/article?id=10.1371/journal.pone.0136619</w:t>
      </w:r>
    </w:p>
    <w:p w:rsidR="0045789A" w:rsidRPr="0045789A" w:rsidRDefault="0045789A" w:rsidP="0045789A">
      <w:pPr>
        <w:pStyle w:val="NoSpacing"/>
        <w:numPr>
          <w:ilvl w:val="0"/>
          <w:numId w:val="39"/>
        </w:numPr>
      </w:pPr>
      <w:r w:rsidRPr="0045789A">
        <w:t>Vale FL, Vivas AC, Manwaring J, Schoenberg MR, Benbadis SR. Temporal lobe epilepsy and cavernous malformations: surgical strategies and long-term outcomes. Acta Neurochir (Wien) [Internet]. 2015 Nov 29 [cited 2016 Nov 7];157(11):1887–95. Available from: http://link.springer.com/10.1007/s00701-015-2592-4</w:t>
      </w:r>
    </w:p>
    <w:p w:rsidR="0045789A" w:rsidRPr="0045789A" w:rsidRDefault="0045789A" w:rsidP="0045789A">
      <w:pPr>
        <w:pStyle w:val="NoSpacing"/>
        <w:numPr>
          <w:ilvl w:val="0"/>
          <w:numId w:val="39"/>
        </w:numPr>
      </w:pPr>
      <w:r w:rsidRPr="0045789A">
        <w:t>R Development Core Team. R Core Team (2023). R: A Language and Environment for Statistical Computing_. R Foundation for Statistical Computing, Vienna, Austria. R Found Stat Comput [Internet]. Available from: https://www.r-project.org/</w:t>
      </w:r>
    </w:p>
    <w:p w:rsidR="0045789A" w:rsidRPr="0045789A" w:rsidRDefault="0045789A" w:rsidP="0045789A">
      <w:pPr>
        <w:pStyle w:val="NoSpacing"/>
        <w:numPr>
          <w:ilvl w:val="0"/>
          <w:numId w:val="39"/>
        </w:numPr>
      </w:pPr>
      <w:r w:rsidRPr="0045789A">
        <w:t xml:space="preserve">Rinkel LA, Salman RAS, Rinkel GJE, Greving JP. Radiosurgical, neurosurgical, or no intervention for cerebral cavernous malformations: A decision analysis. Int J Stroke. 2019 Dec 1;14(9):939–45. </w:t>
      </w:r>
    </w:p>
    <w:p w:rsidR="0045789A" w:rsidRPr="0045789A" w:rsidRDefault="0045789A" w:rsidP="0045789A">
      <w:pPr>
        <w:pStyle w:val="NoSpacing"/>
        <w:numPr>
          <w:ilvl w:val="0"/>
          <w:numId w:val="39"/>
        </w:numPr>
      </w:pPr>
      <w:r w:rsidRPr="0045789A">
        <w:t xml:space="preserve">Ozlen F, Isler C, Akgun MY, Ozkara C, Karabacak M, Delil S, et al. Factors affecting seizure outcomes after surgery for cavernoma related epilepsy. Turk Neurosurg. 2021;32(3):0–3. </w:t>
      </w:r>
    </w:p>
    <w:p w:rsidR="0045789A" w:rsidRPr="0045789A" w:rsidRDefault="0045789A" w:rsidP="0045789A">
      <w:pPr>
        <w:pStyle w:val="NoSpacing"/>
        <w:numPr>
          <w:ilvl w:val="0"/>
          <w:numId w:val="39"/>
        </w:numPr>
      </w:pPr>
      <w:r w:rsidRPr="0045789A">
        <w:t>Baumann CR, Acciarri N, Bertalanffy H, Devinsky O, Elger CE, Lo Russo G, et al. Seizure Outcome after Resection of Supratentorial Cavernous Malformations: A Study of 168 Patients. Epilepsia [Internet]. 2007 Mar [cited 2023 Aug 20];48(3):559–63. Available from: https://pubmed.ncbi.nlm.nih.gov/17346251/</w:t>
      </w:r>
    </w:p>
    <w:p w:rsidR="0045789A" w:rsidRPr="0045789A" w:rsidRDefault="0045789A" w:rsidP="0045789A">
      <w:pPr>
        <w:pStyle w:val="NoSpacing"/>
        <w:numPr>
          <w:ilvl w:val="0"/>
          <w:numId w:val="39"/>
        </w:numPr>
      </w:pPr>
      <w:r w:rsidRPr="0045789A">
        <w:t xml:space="preserve">Dziedzic TA, Koczyk K, Nowak A, Maj E, Marchel A. Long-Term Management of Seizures after Surgical Treatment of Supratentorial Cavernous Malformations: A Retrospective Single Centre Study. J Korean Neurosurg Soc. 2022;65(3):415–21. </w:t>
      </w:r>
    </w:p>
    <w:p w:rsidR="0045789A" w:rsidRPr="0045789A" w:rsidRDefault="0045789A" w:rsidP="0045789A">
      <w:pPr>
        <w:pStyle w:val="NoSpacing"/>
        <w:numPr>
          <w:ilvl w:val="0"/>
          <w:numId w:val="39"/>
        </w:numPr>
      </w:pPr>
      <w:r w:rsidRPr="0045789A">
        <w:t xml:space="preserve">Schuss P, Marx J, Borger V, Brandecker S, Güresir Á, </w:t>
      </w:r>
      <w:r w:rsidRPr="0045789A">
        <w:lastRenderedPageBreak/>
        <w:t>Hadjiathanasiou A, et al. Cavernoma-related epilepsy in cavernous malformations located within the temporal lobe: Surgical management and seizure outcome. Neurosurg Focus [Internet]. 2020 Apr 1 [cited 2023 Aug 12];48(4):E6. Available from: https://thejns.org/doi/abs/10.3171/2020.1.FOCUS19920</w:t>
      </w:r>
    </w:p>
    <w:p w:rsidR="0045789A" w:rsidRPr="0045789A" w:rsidRDefault="0045789A" w:rsidP="0045789A">
      <w:pPr>
        <w:pStyle w:val="NoSpacing"/>
        <w:numPr>
          <w:ilvl w:val="0"/>
          <w:numId w:val="39"/>
        </w:numPr>
      </w:pPr>
      <w:r w:rsidRPr="0045789A">
        <w:t>Dammann P, Wrede K, Jabbarli R, Neuschulte S, Menzler K, Zhu Y, et al. Outcome after conservative management or surgical treatment for new-onset epilepsy in cerebral cavernous malformation. J Neurosurg [Internet]. 2016 Jul [cited 2016 Nov 7];1–9. Available from: http://thejns.org/doi/10.3171/2016.4.JNS1661</w:t>
      </w:r>
    </w:p>
    <w:p w:rsidR="0045789A" w:rsidRPr="0045789A" w:rsidRDefault="0045789A" w:rsidP="0045789A">
      <w:pPr>
        <w:pStyle w:val="NoSpacing"/>
        <w:numPr>
          <w:ilvl w:val="0"/>
          <w:numId w:val="39"/>
        </w:numPr>
      </w:pPr>
      <w:r w:rsidRPr="0045789A">
        <w:t xml:space="preserve">Von Der Brelie C, Malter MP, Niehusmann P, Elger CE, Von Lehe M, Schramm J. Surgical management and long-term seizure outcome after epilepsy surgery for different types of epilepsy associated with cerebral cavernous malformations. Epilepsia. 2013;54(9):1699–706. </w:t>
      </w:r>
    </w:p>
    <w:p w:rsidR="0045789A" w:rsidRPr="0045789A" w:rsidRDefault="0045789A" w:rsidP="0045789A">
      <w:pPr>
        <w:pStyle w:val="NoSpacing"/>
        <w:numPr>
          <w:ilvl w:val="0"/>
          <w:numId w:val="39"/>
        </w:numPr>
      </w:pPr>
      <w:r w:rsidRPr="0045789A">
        <w:t>Harris L, Poorthuis MHF, Grover P, Kitchen N, Al-Shahi Salman R. Surgery for cerebral cavernous malformations: a systematic review and meta-analysis. Neurosurg Rev [Internet]. 2022 Feb 1 [cited 2023 May 19];45(1):231–41. Available from: https://link.springer.com/article/10.1007/s10143-021-01591-5</w:t>
      </w:r>
    </w:p>
    <w:p w:rsidR="0045789A" w:rsidRPr="0045789A" w:rsidRDefault="0045789A" w:rsidP="0045789A">
      <w:pPr>
        <w:pStyle w:val="NoSpacing"/>
        <w:numPr>
          <w:ilvl w:val="0"/>
          <w:numId w:val="39"/>
        </w:numPr>
      </w:pPr>
      <w:r w:rsidRPr="0045789A">
        <w:t>Kim DS, Park YG, Choi JU, Chung SS, Lee KC. An analysis of the natural history of cavernous malformations. Surg Neurol [Internet]. 1997 [cited 2023 Aug 12];48(1):9–17. Available from: https://pubmed.ncbi.nlm.nih.gov/9199678/</w:t>
      </w:r>
    </w:p>
    <w:p w:rsidR="0045789A" w:rsidRPr="0045789A" w:rsidRDefault="0045789A" w:rsidP="0045789A">
      <w:pPr>
        <w:pStyle w:val="NoSpacing"/>
        <w:numPr>
          <w:ilvl w:val="0"/>
          <w:numId w:val="39"/>
        </w:numPr>
      </w:pPr>
      <w:r w:rsidRPr="0045789A">
        <w:t xml:space="preserve">Ferroli P, Casazza M, Marras C, Mendola C, Franzini A, Broggi G. Cerebral cavernomas and seizures: A retrospective study on 163 patients who underwent pure lesionectomy. Neurol Sci. 2006;26(6):390–4. </w:t>
      </w:r>
    </w:p>
    <w:p w:rsidR="0045789A" w:rsidRPr="0045789A" w:rsidRDefault="0045789A" w:rsidP="0045789A">
      <w:pPr>
        <w:pStyle w:val="NoSpacing"/>
        <w:numPr>
          <w:ilvl w:val="0"/>
          <w:numId w:val="39"/>
        </w:numPr>
      </w:pPr>
      <w:r w:rsidRPr="0045789A">
        <w:t>Wang X, Tao Z, You C, Li Q, Liu Y. Extended resection of hemosiderin fringe is better for seizure outcome: A study in patients with cavernous malformation associated with refractory epilepsy. Neurol India [Internet]. 2013 May [cited 2023 Aug 12];61(3):288. Available from: https://www.neurologyindia.com/articl</w:t>
      </w:r>
      <w:r w:rsidRPr="0045789A">
        <w:lastRenderedPageBreak/>
        <w:t>e.asp?issn=0028-3886;year=2013;volume=61;issue=3;spage=288;epage=292;aulast=Wang</w:t>
      </w:r>
    </w:p>
    <w:p w:rsidR="0045789A" w:rsidRPr="0045789A" w:rsidRDefault="0045789A" w:rsidP="0045789A">
      <w:pPr>
        <w:pStyle w:val="NoSpacing"/>
        <w:numPr>
          <w:ilvl w:val="0"/>
          <w:numId w:val="39"/>
        </w:numPr>
      </w:pPr>
      <w:r w:rsidRPr="0045789A">
        <w:t>Williamson A, Patrylo PR, Lee S, Spencer DD. Physiology of human cortical neurons adjacent to cavernous malformations and tumors. Epilepsia [Internet]. 2003 Nov [cited 2023 Aug 12];44(11):1413–9. Available from: https://pubmed.ncbi.nlm.nih.gov/14636349/</w:t>
      </w:r>
    </w:p>
    <w:p w:rsidR="0045789A" w:rsidRPr="0045789A" w:rsidRDefault="0045789A" w:rsidP="0045789A">
      <w:pPr>
        <w:pStyle w:val="NoSpacing"/>
        <w:numPr>
          <w:ilvl w:val="0"/>
          <w:numId w:val="39"/>
        </w:numPr>
      </w:pPr>
      <w:r w:rsidRPr="0045789A">
        <w:t>Jehi LE, Palmini A, Aryal U, Coras R, Paglioli E. Cerebral cavernous malformations in the setting of focal epilepsies: pathological findings, clinical characteristics, and surgical treatment principles. Acta Neuropathol [Internet]. 2014 [cited 2023 Aug 12];128(1):55–65. Available from: https://pubmed.ncbi.nlm.nih.gov/24831066/</w:t>
      </w:r>
    </w:p>
    <w:p w:rsidR="0045789A" w:rsidRPr="0045789A" w:rsidRDefault="0045789A" w:rsidP="0045789A">
      <w:pPr>
        <w:pStyle w:val="NoSpacing"/>
        <w:numPr>
          <w:ilvl w:val="0"/>
          <w:numId w:val="39"/>
        </w:numPr>
      </w:pPr>
      <w:r w:rsidRPr="0045789A">
        <w:t>Chusid JG, Kopeloff LM. Epileptogenic effects of pure metals implanted in motor cortex of monkeys. J Appl Physiol [Internet]. 1962 Jul 1 [cited 2023 Aug 12];17(4):697–700. Available from: https://pubmed.ncbi.nlm.nih.gov/13879433/</w:t>
      </w:r>
    </w:p>
    <w:p w:rsidR="0045789A" w:rsidRPr="0045789A" w:rsidRDefault="0045789A" w:rsidP="0045789A">
      <w:pPr>
        <w:pStyle w:val="NoSpacing"/>
        <w:numPr>
          <w:ilvl w:val="0"/>
          <w:numId w:val="39"/>
        </w:numPr>
      </w:pPr>
      <w:r w:rsidRPr="0045789A">
        <w:t>Lüders HO, Najm I, Nair D, Widdess-Walsh P, Bingman W. The epileptogenic zone: General principles. Epileptic Disord [Internet]. 2006 [cited 2023 Aug 12];8(SUPPL. 2):1–9. Available from: https://pubmed.ncbi.nlm.nih.gov/17012067/</w:t>
      </w:r>
    </w:p>
    <w:p w:rsidR="0045789A" w:rsidRPr="0045789A" w:rsidRDefault="0045789A" w:rsidP="0045789A">
      <w:pPr>
        <w:pStyle w:val="NoSpacing"/>
        <w:numPr>
          <w:ilvl w:val="0"/>
          <w:numId w:val="39"/>
        </w:numPr>
      </w:pPr>
      <w:r w:rsidRPr="0045789A">
        <w:t>Baumann CR, Schuknecht B, Lo Russo G, Cossu M, Citterio A, Andermann F, et al. Seizure outcome after resection of cavernous malformations is better when surrounding hemosiderin-stained brain also is removed. Epilepsia [Internet]. 2006 Mar 1 [cited 2023 Aug 12];47(3):563–6. Available from: https://onlinelibrary.wiley.com/doi/full/10.1111/j.1528-1167.2006.00468.x</w:t>
      </w:r>
    </w:p>
    <w:p w:rsidR="0045789A" w:rsidRPr="0045789A" w:rsidRDefault="0045789A" w:rsidP="0045789A">
      <w:pPr>
        <w:pStyle w:val="NoSpacing"/>
        <w:numPr>
          <w:ilvl w:val="0"/>
          <w:numId w:val="39"/>
        </w:numPr>
      </w:pPr>
      <w:r w:rsidRPr="0045789A">
        <w:t>Wang S, Li Y, Xu Y, Song S, Lin R, Xu S, et al. Resection-inspired histopathological diagnosis of cerebral cavernous malformations using quantitative multiphoton microscopy. Issue 15 Theranostics [Internet]. 2022 [cited 2022 Dec 26];2022(15):6595–610. Available from: https://www.thno.org//creativecommons.org/licenses/by/4.0/</w:t>
      </w:r>
    </w:p>
    <w:p w:rsidR="0045789A" w:rsidRPr="0045789A" w:rsidRDefault="0045789A" w:rsidP="0045789A">
      <w:pPr>
        <w:pStyle w:val="NoSpacing"/>
        <w:numPr>
          <w:ilvl w:val="0"/>
          <w:numId w:val="39"/>
        </w:numPr>
      </w:pPr>
      <w:r w:rsidRPr="0045789A">
        <w:t xml:space="preserve">Englot DJ, Han SJ, Lawton MT, Chang EF. Predictors of seizure </w:t>
      </w:r>
      <w:r w:rsidRPr="0045789A">
        <w:lastRenderedPageBreak/>
        <w:t xml:space="preserve">freedom in the surgical treatment of supratentorial cavernous malformations: Clinical article. J Neurosurg. 2011;115(6):1169–74. </w:t>
      </w:r>
    </w:p>
    <w:p w:rsidR="0045789A" w:rsidRPr="0045789A" w:rsidRDefault="0045789A" w:rsidP="0045789A">
      <w:pPr>
        <w:pStyle w:val="NoSpacing"/>
        <w:numPr>
          <w:ilvl w:val="0"/>
          <w:numId w:val="39"/>
        </w:numPr>
      </w:pPr>
      <w:r w:rsidRPr="0045789A">
        <w:t>Jin Y, Zhao C, Zhang S, Zhang X, Qiu Y, Jiang J. Seizure outcome after surgical resection of supratentorial cavernous malformations plus hemosiderin fringe in patients with short duration of epilepsy. Clin Neurol Neurosurg [Internet]. 2014;119:59–63. Available from: http://dx.doi.org/10.1016/j.clineuro.2014.01.013</w:t>
      </w:r>
    </w:p>
    <w:p w:rsidR="0045789A" w:rsidRPr="0045789A" w:rsidRDefault="0045789A" w:rsidP="0045789A">
      <w:pPr>
        <w:pStyle w:val="NoSpacing"/>
        <w:numPr>
          <w:ilvl w:val="0"/>
          <w:numId w:val="39"/>
        </w:numPr>
      </w:pPr>
      <w:r w:rsidRPr="0045789A">
        <w:t xml:space="preserve">Zanello M, Goodden JR, Colle H, Wager M, Hamer PCDW, Smits A, et al. Predictors of Epileptic Seizures and Ability to Work in Supratentorial Cavernous Angioma Located Within Eloquent Brain Areas. Clin Neurosurg. 2019;85(4):E702–13. </w:t>
      </w:r>
    </w:p>
    <w:p w:rsidR="0045789A" w:rsidRPr="0045789A" w:rsidRDefault="0045789A" w:rsidP="0045789A">
      <w:pPr>
        <w:pStyle w:val="NoSpacing"/>
        <w:numPr>
          <w:ilvl w:val="0"/>
          <w:numId w:val="39"/>
        </w:numPr>
      </w:pPr>
      <w:r w:rsidRPr="0045789A">
        <w:t>Yeon JY, Kim JS, Choi SJ, Seo DW, Hong SB, Hong SC. Supratentorial cavernous angiomas presenting with seizures: Surgical outcomes in 60 consecutive patients. Seizure [Internet]. 2009 Jan 1 [cited 2023 Aug 19];18(1):14–20. Available from: http://www.seizure-journal.com/article/S1059131108001106/fulltext</w:t>
      </w:r>
    </w:p>
    <w:p w:rsidR="0045789A" w:rsidRPr="0045789A" w:rsidRDefault="0045789A" w:rsidP="0045789A">
      <w:pPr>
        <w:pStyle w:val="NoSpacing"/>
        <w:numPr>
          <w:ilvl w:val="0"/>
          <w:numId w:val="39"/>
        </w:numPr>
      </w:pPr>
      <w:r w:rsidRPr="0045789A">
        <w:t>Hammen T, Romstöck J, Dörfler A, Kerling F, Buchfelder M, Stefan H. Prediction of postoperative outcome with special respect to removal of hemosiderin fringe: A study in patients with cavernous haemangiomas associated with symptomatic epilepsy. Seizure [Internet]. 2007 Apr 1 [cited 2023 Aug 19];16(3):248–53. Available from: http://www.seizure-journal.com/article/S1059131107000027/fulltext</w:t>
      </w:r>
    </w:p>
    <w:p w:rsidR="0045789A" w:rsidRPr="0045789A" w:rsidRDefault="0045789A" w:rsidP="0045789A">
      <w:pPr>
        <w:pStyle w:val="NoSpacing"/>
        <w:numPr>
          <w:ilvl w:val="0"/>
          <w:numId w:val="39"/>
        </w:numPr>
      </w:pPr>
      <w:r w:rsidRPr="0045789A">
        <w:t xml:space="preserve">Cappabianca P, Alfieri A, Maiuri F, Mariniello G, Cirillo S, De Divitiis E. Supratentorial cavernous malformations and epilepsy: Seizure outcome after lesionectomy on a series of 35 patients. Clin Neurol Neurosurg. 1997 Aug 1;99(3):179–83. </w:t>
      </w:r>
    </w:p>
    <w:p w:rsidR="0045789A" w:rsidRPr="0045789A" w:rsidRDefault="0045789A" w:rsidP="0045789A">
      <w:pPr>
        <w:pStyle w:val="NoSpacing"/>
        <w:numPr>
          <w:ilvl w:val="0"/>
          <w:numId w:val="39"/>
        </w:numPr>
      </w:pPr>
      <w:r w:rsidRPr="0045789A">
        <w:t xml:space="preserve">He K, Jiang S, Song J, Wu Z, Chen L, Mao Y. Long-Term Outcomes of Surgical Treatment in 181 Patients with Supratentorial Cerebral Cavernous Malformation–Associated Epilepsy. World Neurosurg [Internet]. 2017;108:869–75. Available from: </w:t>
      </w:r>
      <w:r w:rsidRPr="0045789A">
        <w:lastRenderedPageBreak/>
        <w:t>http://dx.doi.org/10.1016/j.wneu.2017.08.095</w:t>
      </w:r>
    </w:p>
    <w:p w:rsidR="0045789A" w:rsidRPr="0045789A" w:rsidRDefault="0045789A" w:rsidP="0045789A">
      <w:pPr>
        <w:pStyle w:val="NoSpacing"/>
        <w:numPr>
          <w:ilvl w:val="0"/>
          <w:numId w:val="39"/>
        </w:numPr>
      </w:pPr>
      <w:r w:rsidRPr="0045789A">
        <w:t>Fujimoto A;, Enoki H;, Hatano K;, Sato K;, Okanishi T, Fujimoto A, et al. Earlier Age at Surgery for Brain Cavernous Angioma-Related Epilepsy May Achieve Complete Seizure Freedom without Aid of Anti-Seizure Medication. Brain Sci 2022, Vol 12, Page 403 [Internet]. 2022 Mar 18 [cited 2022 Jun 24];12(3):403. Available from: https://www.mdpi.com/2076-3425/12/3/403/htm</w:t>
      </w:r>
    </w:p>
    <w:p w:rsidR="0045789A" w:rsidRPr="0045789A" w:rsidRDefault="0045789A" w:rsidP="0045789A">
      <w:pPr>
        <w:pStyle w:val="NoSpacing"/>
        <w:numPr>
          <w:ilvl w:val="0"/>
          <w:numId w:val="39"/>
        </w:numPr>
      </w:pPr>
      <w:r w:rsidRPr="0045789A">
        <w:t>Kapadia M, Walwema M, Smith TR, Bellinski I, Batjer H, Getch C, et al. Seizure outcome in patients with cavernous malformation after early surgery. Epilepsy Behav [Internet]. 2021 Feb 1 [cited 2022 Jun 27];115:107662. Available from: https://doi.org/10.1016/j.yebeh.2020.107662</w:t>
      </w:r>
    </w:p>
    <w:p w:rsidR="0045789A" w:rsidRPr="0045789A" w:rsidRDefault="0045789A" w:rsidP="0045789A">
      <w:pPr>
        <w:pStyle w:val="NoSpacing"/>
        <w:numPr>
          <w:ilvl w:val="0"/>
          <w:numId w:val="39"/>
        </w:numPr>
      </w:pPr>
      <w:r w:rsidRPr="0045789A">
        <w:t>Von Der Brelie C, Kuczaty S, Von Lehe M. Surgical management and long-term outcome of pediatric patients with different subtypes of epilepsy associated with cerebral cavernous malformations: Clinical article. J Neurosurg Pediatr [Internet]. 2014 [cited 2023 Aug 21];13(6):699–705. Available from: https://pubmed.ncbi.nlm.nih.gov/24702617/</w:t>
      </w:r>
    </w:p>
    <w:p w:rsidR="0045789A" w:rsidRPr="0045789A" w:rsidRDefault="0045789A" w:rsidP="0045789A">
      <w:pPr>
        <w:pStyle w:val="NoSpacing"/>
        <w:numPr>
          <w:ilvl w:val="0"/>
          <w:numId w:val="39"/>
        </w:numPr>
      </w:pPr>
      <w:r w:rsidRPr="0045789A">
        <w:t xml:space="preserve">Winter F, Blair L, Buchfelder M, Roessler K. Risk Factors for Poor Postoperative Outcome and Epileptic Symptoms in Patients Diagnosed with Cerebral Cavernous Malformations. J Neurol Surgery, Part A Cent Eur Neurosurg. 2021;82(1):59–63. </w:t>
      </w:r>
    </w:p>
    <w:p w:rsidR="0045789A" w:rsidRPr="0045789A" w:rsidRDefault="0045789A" w:rsidP="0045789A">
      <w:pPr>
        <w:pStyle w:val="NoSpacing"/>
        <w:numPr>
          <w:ilvl w:val="0"/>
          <w:numId w:val="39"/>
        </w:numPr>
      </w:pPr>
      <w:r w:rsidRPr="0045789A">
        <w:t>Casazza M, Broggi G, Franzini A, Avanzini G, Spreafico R, Bracchi M, et al. Supratentorial cavernous angiomas and epileptic seizures: Preoperative course and postoperative outcome. Neurosurgery [Internet]. 1996 Jul [cited 2023 Aug 26];39(1):26–34. Available from: https://pubmed.ncbi.nlm.nih.gov/8805137/</w:t>
      </w:r>
    </w:p>
    <w:p w:rsidR="0045789A" w:rsidRPr="0045789A" w:rsidRDefault="0045789A" w:rsidP="0045789A">
      <w:pPr>
        <w:pStyle w:val="NoSpacing"/>
        <w:numPr>
          <w:ilvl w:val="0"/>
          <w:numId w:val="39"/>
        </w:numPr>
      </w:pPr>
      <w:r w:rsidRPr="0045789A">
        <w:t xml:space="preserve">Kivelev J, Niemelä M, Blomstedt G, Roivainen R, Lehecka M, Hernesniemi J. Microsurgical treatment of temporal lobe cavernomas. Acta Neurochir (Wien). 2011;153(2):261–70. </w:t>
      </w:r>
    </w:p>
    <w:bookmarkEnd w:id="0"/>
    <w:p w:rsidR="0045789A" w:rsidRDefault="0045789A" w:rsidP="00374AE5">
      <w:pPr>
        <w:pStyle w:val="NoSpacing"/>
        <w:sectPr w:rsidR="0045789A" w:rsidSect="0045789A">
          <w:headerReference w:type="default" r:id="rId11"/>
          <w:type w:val="continuous"/>
          <w:pgSz w:w="11906" w:h="16838"/>
          <w:pgMar w:top="1417" w:right="1417" w:bottom="1417" w:left="1417" w:header="708" w:footer="708" w:gutter="0"/>
          <w:cols w:num="2" w:space="708"/>
          <w:docGrid w:linePitch="360"/>
        </w:sectPr>
      </w:pPr>
    </w:p>
    <w:p w:rsidR="0073333D" w:rsidRDefault="0073333D" w:rsidP="00374AE5">
      <w:pPr>
        <w:pStyle w:val="NoSpacing"/>
      </w:pPr>
    </w:p>
    <w:sectPr w:rsidR="0073333D" w:rsidSect="002B66F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725" w:rsidRDefault="008B7725" w:rsidP="00374AE5">
      <w:pPr>
        <w:spacing w:line="240" w:lineRule="auto"/>
      </w:pPr>
      <w:r>
        <w:separator/>
      </w:r>
    </w:p>
  </w:endnote>
  <w:endnote w:type="continuationSeparator" w:id="0">
    <w:p w:rsidR="008B7725" w:rsidRDefault="008B7725" w:rsidP="00374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Devanagari">
    <w:altName w:val="Times New Roman"/>
    <w:charset w:val="CC"/>
    <w:family w:val="auto"/>
    <w:pitch w:val="variable"/>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725" w:rsidRDefault="008B7725" w:rsidP="00374AE5">
      <w:pPr>
        <w:spacing w:line="240" w:lineRule="auto"/>
      </w:pPr>
      <w:r>
        <w:separator/>
      </w:r>
    </w:p>
  </w:footnote>
  <w:footnote w:type="continuationSeparator" w:id="0">
    <w:p w:rsidR="008B7725" w:rsidRDefault="008B7725" w:rsidP="00374A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D20" w:rsidRPr="00E549AA" w:rsidRDefault="00AF0922" w:rsidP="00E13D20">
    <w:pPr>
      <w:pStyle w:val="Subtitle"/>
      <w:rPr>
        <w:rFonts w:eastAsia="Times New Roman"/>
        <w:lang w:val="en-US"/>
      </w:rPr>
    </w:pPr>
    <w:proofErr w:type="spellStart"/>
    <w:r w:rsidRPr="00FB1BE9">
      <w:rPr>
        <w:lang w:val="en-US"/>
      </w:rPr>
      <w:t>Galaktionov</w:t>
    </w:r>
    <w:proofErr w:type="spellEnd"/>
    <w:r w:rsidR="00E13D20">
      <w:rPr>
        <w:rFonts w:eastAsia="Times New Roman"/>
        <w:lang w:val="en-US"/>
      </w:rPr>
      <w:t xml:space="preserve"> et al</w:t>
    </w:r>
  </w:p>
  <w:p w:rsidR="00E549AA" w:rsidRPr="00E549AA" w:rsidRDefault="00E549AA" w:rsidP="00E13D20">
    <w:pPr>
      <w:pStyle w:val="Subtitle"/>
      <w:rPr>
        <w:lang w:val="sr-Latn-R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922" w:rsidRPr="00AF0922" w:rsidRDefault="00AF0922" w:rsidP="00AF0922">
    <w:pPr>
      <w:pStyle w:val="Subtitle"/>
    </w:pPr>
    <w:r w:rsidRPr="00AF0922">
      <w:rPr>
        <w:lang w:val="en-US"/>
      </w:rPr>
      <w:t xml:space="preserve">Results of cerebral cavernous malformation surgery in patients with </w:t>
    </w:r>
    <w:proofErr w:type="spellStart"/>
    <w:r w:rsidRPr="00AF0922">
      <w:rPr>
        <w:lang w:val="en-US"/>
      </w:rPr>
      <w:t>cavernoma</w:t>
    </w:r>
    <w:proofErr w:type="spellEnd"/>
    <w:r w:rsidRPr="00AF0922">
      <w:rPr>
        <w:lang w:val="en-US"/>
      </w:rPr>
      <w:t xml:space="preserve"> associated </w:t>
    </w:r>
    <w:r>
      <w:rPr>
        <w:lang w:val="en-US"/>
      </w:rPr>
      <w:t>epilepsy</w:t>
    </w:r>
  </w:p>
  <w:p w:rsidR="00597A29" w:rsidRPr="00AF0922" w:rsidRDefault="00597A29" w:rsidP="00AF0922">
    <w:pPr>
      <w:pStyle w:val="Subtitle"/>
    </w:pPr>
  </w:p>
  <w:p w:rsidR="00C76FCC" w:rsidRPr="00597A29" w:rsidRDefault="00C76FCC" w:rsidP="00597A29">
    <w:pPr>
      <w:pStyle w:val="Subtit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AE5" w:rsidRDefault="00374AE5" w:rsidP="00C76FCC">
    <w:pPr>
      <w:pStyle w:val="Subtit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28.8pt;height:28.8pt;visibility:visible;mso-wrap-style:square" o:bullet="t">
        <v:imagedata r:id="rId1" o:title=""/>
      </v:shape>
    </w:pict>
  </w:numPicBullet>
  <w:numPicBullet w:numPicBulletId="1">
    <w:pict>
      <v:shape id="_x0000_i1165" type="#_x0000_t75" style="width:28.8pt;height:28.8pt;visibility:visible;mso-wrap-style:square" o:bullet="t">
        <v:imagedata r:id="rId2" o:title=""/>
      </v:shape>
    </w:pict>
  </w:numPicBullet>
  <w:abstractNum w:abstractNumId="0">
    <w:nsid w:val="00000002"/>
    <w:multiLevelType w:val="multilevel"/>
    <w:tmpl w:val="00000002"/>
    <w:name w:val="WW8Num2"/>
    <w:lvl w:ilvl="0">
      <w:start w:val="3"/>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
    <w:nsid w:val="00000003"/>
    <w:multiLevelType w:val="multilevel"/>
    <w:tmpl w:val="00000003"/>
    <w:name w:val="WW8Num3"/>
    <w:lvl w:ilvl="0">
      <w:start w:val="13"/>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3">
    <w:nsid w:val="00000005"/>
    <w:multiLevelType w:val="multilevel"/>
    <w:tmpl w:val="00000005"/>
    <w:name w:val="WW8Num5"/>
    <w:lvl w:ilvl="0">
      <w:start w:val="15"/>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4">
    <w:nsid w:val="00000006"/>
    <w:multiLevelType w:val="multilevel"/>
    <w:tmpl w:val="00000006"/>
    <w:name w:val="WW8Num6"/>
    <w:lvl w:ilvl="0">
      <w:start w:val="19"/>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5">
    <w:nsid w:val="00000007"/>
    <w:multiLevelType w:val="multilevel"/>
    <w:tmpl w:val="00000007"/>
    <w:name w:val="WW8Num7"/>
    <w:lvl w:ilvl="0">
      <w:start w:val="5"/>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6">
    <w:nsid w:val="00000008"/>
    <w:multiLevelType w:val="multilevel"/>
    <w:tmpl w:val="00000008"/>
    <w:name w:val="WW8Num8"/>
    <w:lvl w:ilvl="0">
      <w:start w:val="12"/>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7">
    <w:nsid w:val="00000009"/>
    <w:multiLevelType w:val="multilevel"/>
    <w:tmpl w:val="00000009"/>
    <w:name w:val="WW8Num9"/>
    <w:lvl w:ilvl="0">
      <w:start w:val="8"/>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8">
    <w:nsid w:val="0000000A"/>
    <w:multiLevelType w:val="multilevel"/>
    <w:tmpl w:val="0000000A"/>
    <w:name w:val="WW8Num10"/>
    <w:lvl w:ilvl="0">
      <w:start w:val="14"/>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9">
    <w:nsid w:val="0000000B"/>
    <w:multiLevelType w:val="multilevel"/>
    <w:tmpl w:val="0000000B"/>
    <w:name w:val="WW8Num11"/>
    <w:lvl w:ilvl="0">
      <w:start w:val="9"/>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0">
    <w:nsid w:val="0000000C"/>
    <w:multiLevelType w:val="multilevel"/>
    <w:tmpl w:val="0000000C"/>
    <w:name w:val="WW8Num12"/>
    <w:lvl w:ilvl="0">
      <w:start w:val="16"/>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1">
    <w:nsid w:val="0000000D"/>
    <w:multiLevelType w:val="multilevel"/>
    <w:tmpl w:val="0000000D"/>
    <w:name w:val="WW8Num13"/>
    <w:lvl w:ilvl="0">
      <w:start w:val="2"/>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2">
    <w:nsid w:val="0000000E"/>
    <w:multiLevelType w:val="multilevel"/>
    <w:tmpl w:val="0000000E"/>
    <w:name w:val="WW8Num14"/>
    <w:lvl w:ilvl="0">
      <w:start w:val="7"/>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3">
    <w:nsid w:val="0000000F"/>
    <w:multiLevelType w:val="multilevel"/>
    <w:tmpl w:val="0000000F"/>
    <w:name w:val="WW8Num15"/>
    <w:lvl w:ilvl="0">
      <w:start w:val="11"/>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4">
    <w:nsid w:val="00000010"/>
    <w:multiLevelType w:val="multilevel"/>
    <w:tmpl w:val="00000010"/>
    <w:name w:val="WW8Num16"/>
    <w:lvl w:ilvl="0">
      <w:start w:val="10"/>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5">
    <w:nsid w:val="00000011"/>
    <w:multiLevelType w:val="multilevel"/>
    <w:tmpl w:val="00000011"/>
    <w:name w:val="WW8Num17"/>
    <w:lvl w:ilvl="0">
      <w:start w:val="17"/>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6">
    <w:nsid w:val="00000012"/>
    <w:multiLevelType w:val="multilevel"/>
    <w:tmpl w:val="00000012"/>
    <w:name w:val="WW8Num18"/>
    <w:lvl w:ilvl="0">
      <w:start w:val="18"/>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7">
    <w:nsid w:val="00000013"/>
    <w:multiLevelType w:val="multilevel"/>
    <w:tmpl w:val="00000013"/>
    <w:name w:val="WW8Num19"/>
    <w:lvl w:ilvl="0">
      <w:start w:val="4"/>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8">
    <w:nsid w:val="00000014"/>
    <w:multiLevelType w:val="multilevel"/>
    <w:tmpl w:val="00000014"/>
    <w:name w:val="WW8Num20"/>
    <w:lvl w:ilvl="0">
      <w:start w:val="6"/>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2.%3."/>
      <w:lvlJc w:val="left"/>
      <w:pPr>
        <w:tabs>
          <w:tab w:val="num" w:pos="0"/>
        </w:tabs>
        <w:ind w:left="2160" w:hanging="360"/>
      </w:pPr>
      <w:rPr>
        <w:strike w:val="0"/>
        <w:dstrike w:val="0"/>
        <w:u w:val="none"/>
        <w:effect w:val="none"/>
      </w:rPr>
    </w:lvl>
    <w:lvl w:ilvl="3">
      <w:start w:val="1"/>
      <w:numFmt w:val="decimal"/>
      <w:lvlText w:val="%2.%3.%4."/>
      <w:lvlJc w:val="left"/>
      <w:pPr>
        <w:tabs>
          <w:tab w:val="num" w:pos="0"/>
        </w:tabs>
        <w:ind w:left="2880" w:hanging="360"/>
      </w:pPr>
      <w:rPr>
        <w:strike w:val="0"/>
        <w:dstrike w:val="0"/>
        <w:u w:val="none"/>
        <w:effect w:val="none"/>
      </w:rPr>
    </w:lvl>
    <w:lvl w:ilvl="4">
      <w:start w:val="1"/>
      <w:numFmt w:val="lowerLetter"/>
      <w:lvlText w:val="%2.%3.%4.%5."/>
      <w:lvlJc w:val="left"/>
      <w:pPr>
        <w:tabs>
          <w:tab w:val="num" w:pos="0"/>
        </w:tabs>
        <w:ind w:left="3600" w:hanging="360"/>
      </w:pPr>
      <w:rPr>
        <w:strike w:val="0"/>
        <w:dstrike w:val="0"/>
        <w:u w:val="none"/>
        <w:effect w:val="none"/>
      </w:rPr>
    </w:lvl>
    <w:lvl w:ilvl="5">
      <w:start w:val="1"/>
      <w:numFmt w:val="lowerRoman"/>
      <w:lvlText w:val="%2.%3.%4.%5.%6."/>
      <w:lvlJc w:val="left"/>
      <w:pPr>
        <w:tabs>
          <w:tab w:val="num" w:pos="0"/>
        </w:tabs>
        <w:ind w:left="4320" w:hanging="360"/>
      </w:pPr>
      <w:rPr>
        <w:strike w:val="0"/>
        <w:dstrike w:val="0"/>
        <w:u w:val="none"/>
        <w:effect w:val="none"/>
      </w:rPr>
    </w:lvl>
    <w:lvl w:ilvl="6">
      <w:start w:val="1"/>
      <w:numFmt w:val="decimal"/>
      <w:lvlText w:val="%2.%3.%4.%5.%6.%7."/>
      <w:lvlJc w:val="left"/>
      <w:pPr>
        <w:tabs>
          <w:tab w:val="num" w:pos="0"/>
        </w:tabs>
        <w:ind w:left="5040" w:hanging="360"/>
      </w:pPr>
      <w:rPr>
        <w:strike w:val="0"/>
        <w:dstrike w:val="0"/>
        <w:u w:val="none"/>
        <w:effect w:val="none"/>
      </w:rPr>
    </w:lvl>
    <w:lvl w:ilvl="7">
      <w:start w:val="1"/>
      <w:numFmt w:val="lowerLetter"/>
      <w:lvlText w:val="%2.%3.%4.%5.%6.%7.%8."/>
      <w:lvlJc w:val="left"/>
      <w:pPr>
        <w:tabs>
          <w:tab w:val="num" w:pos="0"/>
        </w:tabs>
        <w:ind w:left="5760" w:hanging="360"/>
      </w:pPr>
      <w:rPr>
        <w:strike w:val="0"/>
        <w:dstrike w:val="0"/>
        <w:u w:val="none"/>
        <w:effect w:val="none"/>
      </w:rPr>
    </w:lvl>
    <w:lvl w:ilvl="8">
      <w:start w:val="1"/>
      <w:numFmt w:val="lowerRoman"/>
      <w:lvlText w:val="%2.%3.%4.%5.%6.%7.%8.%9."/>
      <w:lvlJc w:val="left"/>
      <w:pPr>
        <w:tabs>
          <w:tab w:val="num" w:pos="0"/>
        </w:tabs>
        <w:ind w:left="6480" w:hanging="360"/>
      </w:pPr>
      <w:rPr>
        <w:strike w:val="0"/>
        <w:dstrike w:val="0"/>
        <w:u w:val="none"/>
        <w:effect w:val="none"/>
      </w:rPr>
    </w:lvl>
  </w:abstractNum>
  <w:abstractNum w:abstractNumId="19">
    <w:nsid w:val="02680713"/>
    <w:multiLevelType w:val="hybridMultilevel"/>
    <w:tmpl w:val="2E6A0176"/>
    <w:lvl w:ilvl="0" w:tplc="2B662EC8">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070F75F3"/>
    <w:multiLevelType w:val="hybridMultilevel"/>
    <w:tmpl w:val="64EC0B3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0794748B"/>
    <w:multiLevelType w:val="hybridMultilevel"/>
    <w:tmpl w:val="6E029F7A"/>
    <w:lvl w:ilvl="0" w:tplc="AC666150">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083B7346"/>
    <w:multiLevelType w:val="hybridMultilevel"/>
    <w:tmpl w:val="2C5C50B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0FFF57DA"/>
    <w:multiLevelType w:val="hybridMultilevel"/>
    <w:tmpl w:val="073245B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2B853DA6"/>
    <w:multiLevelType w:val="hybridMultilevel"/>
    <w:tmpl w:val="70C4913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2D177554"/>
    <w:multiLevelType w:val="hybridMultilevel"/>
    <w:tmpl w:val="06FEA75C"/>
    <w:lvl w:ilvl="0" w:tplc="70D06324">
      <w:start w:val="1"/>
      <w:numFmt w:val="bullet"/>
      <w:lvlText w:val=""/>
      <w:lvlPicBulletId w:val="0"/>
      <w:lvlJc w:val="left"/>
      <w:pPr>
        <w:tabs>
          <w:tab w:val="num" w:pos="720"/>
        </w:tabs>
        <w:ind w:left="720" w:hanging="360"/>
      </w:pPr>
      <w:rPr>
        <w:rFonts w:ascii="Symbol" w:hAnsi="Symbol" w:hint="default"/>
      </w:rPr>
    </w:lvl>
    <w:lvl w:ilvl="1" w:tplc="E4EA8BFE" w:tentative="1">
      <w:start w:val="1"/>
      <w:numFmt w:val="bullet"/>
      <w:lvlText w:val=""/>
      <w:lvlJc w:val="left"/>
      <w:pPr>
        <w:tabs>
          <w:tab w:val="num" w:pos="1440"/>
        </w:tabs>
        <w:ind w:left="1440" w:hanging="360"/>
      </w:pPr>
      <w:rPr>
        <w:rFonts w:ascii="Symbol" w:hAnsi="Symbol" w:hint="default"/>
      </w:rPr>
    </w:lvl>
    <w:lvl w:ilvl="2" w:tplc="14A0B180" w:tentative="1">
      <w:start w:val="1"/>
      <w:numFmt w:val="bullet"/>
      <w:lvlText w:val=""/>
      <w:lvlJc w:val="left"/>
      <w:pPr>
        <w:tabs>
          <w:tab w:val="num" w:pos="2160"/>
        </w:tabs>
        <w:ind w:left="2160" w:hanging="360"/>
      </w:pPr>
      <w:rPr>
        <w:rFonts w:ascii="Symbol" w:hAnsi="Symbol" w:hint="default"/>
      </w:rPr>
    </w:lvl>
    <w:lvl w:ilvl="3" w:tplc="EA369B22" w:tentative="1">
      <w:start w:val="1"/>
      <w:numFmt w:val="bullet"/>
      <w:lvlText w:val=""/>
      <w:lvlJc w:val="left"/>
      <w:pPr>
        <w:tabs>
          <w:tab w:val="num" w:pos="2880"/>
        </w:tabs>
        <w:ind w:left="2880" w:hanging="360"/>
      </w:pPr>
      <w:rPr>
        <w:rFonts w:ascii="Symbol" w:hAnsi="Symbol" w:hint="default"/>
      </w:rPr>
    </w:lvl>
    <w:lvl w:ilvl="4" w:tplc="F22ABBDC" w:tentative="1">
      <w:start w:val="1"/>
      <w:numFmt w:val="bullet"/>
      <w:lvlText w:val=""/>
      <w:lvlJc w:val="left"/>
      <w:pPr>
        <w:tabs>
          <w:tab w:val="num" w:pos="3600"/>
        </w:tabs>
        <w:ind w:left="3600" w:hanging="360"/>
      </w:pPr>
      <w:rPr>
        <w:rFonts w:ascii="Symbol" w:hAnsi="Symbol" w:hint="default"/>
      </w:rPr>
    </w:lvl>
    <w:lvl w:ilvl="5" w:tplc="836AEB64" w:tentative="1">
      <w:start w:val="1"/>
      <w:numFmt w:val="bullet"/>
      <w:lvlText w:val=""/>
      <w:lvlJc w:val="left"/>
      <w:pPr>
        <w:tabs>
          <w:tab w:val="num" w:pos="4320"/>
        </w:tabs>
        <w:ind w:left="4320" w:hanging="360"/>
      </w:pPr>
      <w:rPr>
        <w:rFonts w:ascii="Symbol" w:hAnsi="Symbol" w:hint="default"/>
      </w:rPr>
    </w:lvl>
    <w:lvl w:ilvl="6" w:tplc="FAC877CC" w:tentative="1">
      <w:start w:val="1"/>
      <w:numFmt w:val="bullet"/>
      <w:lvlText w:val=""/>
      <w:lvlJc w:val="left"/>
      <w:pPr>
        <w:tabs>
          <w:tab w:val="num" w:pos="5040"/>
        </w:tabs>
        <w:ind w:left="5040" w:hanging="360"/>
      </w:pPr>
      <w:rPr>
        <w:rFonts w:ascii="Symbol" w:hAnsi="Symbol" w:hint="default"/>
      </w:rPr>
    </w:lvl>
    <w:lvl w:ilvl="7" w:tplc="343086AA" w:tentative="1">
      <w:start w:val="1"/>
      <w:numFmt w:val="bullet"/>
      <w:lvlText w:val=""/>
      <w:lvlJc w:val="left"/>
      <w:pPr>
        <w:tabs>
          <w:tab w:val="num" w:pos="5760"/>
        </w:tabs>
        <w:ind w:left="5760" w:hanging="360"/>
      </w:pPr>
      <w:rPr>
        <w:rFonts w:ascii="Symbol" w:hAnsi="Symbol" w:hint="default"/>
      </w:rPr>
    </w:lvl>
    <w:lvl w:ilvl="8" w:tplc="98C8CCC4" w:tentative="1">
      <w:start w:val="1"/>
      <w:numFmt w:val="bullet"/>
      <w:lvlText w:val=""/>
      <w:lvlJc w:val="left"/>
      <w:pPr>
        <w:tabs>
          <w:tab w:val="num" w:pos="6480"/>
        </w:tabs>
        <w:ind w:left="6480" w:hanging="360"/>
      </w:pPr>
      <w:rPr>
        <w:rFonts w:ascii="Symbol" w:hAnsi="Symbol" w:hint="default"/>
      </w:rPr>
    </w:lvl>
  </w:abstractNum>
  <w:abstractNum w:abstractNumId="26">
    <w:nsid w:val="2E332717"/>
    <w:multiLevelType w:val="hybridMultilevel"/>
    <w:tmpl w:val="366409A0"/>
    <w:lvl w:ilvl="0" w:tplc="940ADC26">
      <w:start w:val="1"/>
      <w:numFmt w:val="bullet"/>
      <w:lvlText w:val=""/>
      <w:lvlPicBulletId w:val="1"/>
      <w:lvlJc w:val="left"/>
      <w:pPr>
        <w:tabs>
          <w:tab w:val="num" w:pos="720"/>
        </w:tabs>
        <w:ind w:left="720" w:hanging="360"/>
      </w:pPr>
      <w:rPr>
        <w:rFonts w:ascii="Symbol" w:hAnsi="Symbol" w:hint="default"/>
      </w:rPr>
    </w:lvl>
    <w:lvl w:ilvl="1" w:tplc="0D024818" w:tentative="1">
      <w:start w:val="1"/>
      <w:numFmt w:val="bullet"/>
      <w:lvlText w:val=""/>
      <w:lvlJc w:val="left"/>
      <w:pPr>
        <w:tabs>
          <w:tab w:val="num" w:pos="1440"/>
        </w:tabs>
        <w:ind w:left="1440" w:hanging="360"/>
      </w:pPr>
      <w:rPr>
        <w:rFonts w:ascii="Symbol" w:hAnsi="Symbol" w:hint="default"/>
      </w:rPr>
    </w:lvl>
    <w:lvl w:ilvl="2" w:tplc="1D327B8C" w:tentative="1">
      <w:start w:val="1"/>
      <w:numFmt w:val="bullet"/>
      <w:lvlText w:val=""/>
      <w:lvlJc w:val="left"/>
      <w:pPr>
        <w:tabs>
          <w:tab w:val="num" w:pos="2160"/>
        </w:tabs>
        <w:ind w:left="2160" w:hanging="360"/>
      </w:pPr>
      <w:rPr>
        <w:rFonts w:ascii="Symbol" w:hAnsi="Symbol" w:hint="default"/>
      </w:rPr>
    </w:lvl>
    <w:lvl w:ilvl="3" w:tplc="36189FE0" w:tentative="1">
      <w:start w:val="1"/>
      <w:numFmt w:val="bullet"/>
      <w:lvlText w:val=""/>
      <w:lvlJc w:val="left"/>
      <w:pPr>
        <w:tabs>
          <w:tab w:val="num" w:pos="2880"/>
        </w:tabs>
        <w:ind w:left="2880" w:hanging="360"/>
      </w:pPr>
      <w:rPr>
        <w:rFonts w:ascii="Symbol" w:hAnsi="Symbol" w:hint="default"/>
      </w:rPr>
    </w:lvl>
    <w:lvl w:ilvl="4" w:tplc="E0141676" w:tentative="1">
      <w:start w:val="1"/>
      <w:numFmt w:val="bullet"/>
      <w:lvlText w:val=""/>
      <w:lvlJc w:val="left"/>
      <w:pPr>
        <w:tabs>
          <w:tab w:val="num" w:pos="3600"/>
        </w:tabs>
        <w:ind w:left="3600" w:hanging="360"/>
      </w:pPr>
      <w:rPr>
        <w:rFonts w:ascii="Symbol" w:hAnsi="Symbol" w:hint="default"/>
      </w:rPr>
    </w:lvl>
    <w:lvl w:ilvl="5" w:tplc="07A6CCE0" w:tentative="1">
      <w:start w:val="1"/>
      <w:numFmt w:val="bullet"/>
      <w:lvlText w:val=""/>
      <w:lvlJc w:val="left"/>
      <w:pPr>
        <w:tabs>
          <w:tab w:val="num" w:pos="4320"/>
        </w:tabs>
        <w:ind w:left="4320" w:hanging="360"/>
      </w:pPr>
      <w:rPr>
        <w:rFonts w:ascii="Symbol" w:hAnsi="Symbol" w:hint="default"/>
      </w:rPr>
    </w:lvl>
    <w:lvl w:ilvl="6" w:tplc="36DC12EC" w:tentative="1">
      <w:start w:val="1"/>
      <w:numFmt w:val="bullet"/>
      <w:lvlText w:val=""/>
      <w:lvlJc w:val="left"/>
      <w:pPr>
        <w:tabs>
          <w:tab w:val="num" w:pos="5040"/>
        </w:tabs>
        <w:ind w:left="5040" w:hanging="360"/>
      </w:pPr>
      <w:rPr>
        <w:rFonts w:ascii="Symbol" w:hAnsi="Symbol" w:hint="default"/>
      </w:rPr>
    </w:lvl>
    <w:lvl w:ilvl="7" w:tplc="2EB6419E" w:tentative="1">
      <w:start w:val="1"/>
      <w:numFmt w:val="bullet"/>
      <w:lvlText w:val=""/>
      <w:lvlJc w:val="left"/>
      <w:pPr>
        <w:tabs>
          <w:tab w:val="num" w:pos="5760"/>
        </w:tabs>
        <w:ind w:left="5760" w:hanging="360"/>
      </w:pPr>
      <w:rPr>
        <w:rFonts w:ascii="Symbol" w:hAnsi="Symbol" w:hint="default"/>
      </w:rPr>
    </w:lvl>
    <w:lvl w:ilvl="8" w:tplc="AFCC93C0" w:tentative="1">
      <w:start w:val="1"/>
      <w:numFmt w:val="bullet"/>
      <w:lvlText w:val=""/>
      <w:lvlJc w:val="left"/>
      <w:pPr>
        <w:tabs>
          <w:tab w:val="num" w:pos="6480"/>
        </w:tabs>
        <w:ind w:left="6480" w:hanging="360"/>
      </w:pPr>
      <w:rPr>
        <w:rFonts w:ascii="Symbol" w:hAnsi="Symbol" w:hint="default"/>
      </w:rPr>
    </w:lvl>
  </w:abstractNum>
  <w:abstractNum w:abstractNumId="27">
    <w:nsid w:val="35826CCA"/>
    <w:multiLevelType w:val="hybridMultilevel"/>
    <w:tmpl w:val="C04E274A"/>
    <w:lvl w:ilvl="0" w:tplc="2B662EC8">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39246BCE"/>
    <w:multiLevelType w:val="hybridMultilevel"/>
    <w:tmpl w:val="FCEA5C82"/>
    <w:lvl w:ilvl="0" w:tplc="4F248108">
      <w:start w:val="1"/>
      <w:numFmt w:val="bullet"/>
      <w:lvlText w:val=""/>
      <w:lvlPicBulletId w:val="0"/>
      <w:lvlJc w:val="left"/>
      <w:pPr>
        <w:tabs>
          <w:tab w:val="num" w:pos="720"/>
        </w:tabs>
        <w:ind w:left="720" w:hanging="360"/>
      </w:pPr>
      <w:rPr>
        <w:rFonts w:ascii="Symbol" w:hAnsi="Symbol" w:hint="default"/>
      </w:rPr>
    </w:lvl>
    <w:lvl w:ilvl="1" w:tplc="A7A4D77C" w:tentative="1">
      <w:start w:val="1"/>
      <w:numFmt w:val="bullet"/>
      <w:lvlText w:val=""/>
      <w:lvlJc w:val="left"/>
      <w:pPr>
        <w:tabs>
          <w:tab w:val="num" w:pos="1440"/>
        </w:tabs>
        <w:ind w:left="1440" w:hanging="360"/>
      </w:pPr>
      <w:rPr>
        <w:rFonts w:ascii="Symbol" w:hAnsi="Symbol" w:hint="default"/>
      </w:rPr>
    </w:lvl>
    <w:lvl w:ilvl="2" w:tplc="3C94869C" w:tentative="1">
      <w:start w:val="1"/>
      <w:numFmt w:val="bullet"/>
      <w:lvlText w:val=""/>
      <w:lvlJc w:val="left"/>
      <w:pPr>
        <w:tabs>
          <w:tab w:val="num" w:pos="2160"/>
        </w:tabs>
        <w:ind w:left="2160" w:hanging="360"/>
      </w:pPr>
      <w:rPr>
        <w:rFonts w:ascii="Symbol" w:hAnsi="Symbol" w:hint="default"/>
      </w:rPr>
    </w:lvl>
    <w:lvl w:ilvl="3" w:tplc="A2CACA3A" w:tentative="1">
      <w:start w:val="1"/>
      <w:numFmt w:val="bullet"/>
      <w:lvlText w:val=""/>
      <w:lvlJc w:val="left"/>
      <w:pPr>
        <w:tabs>
          <w:tab w:val="num" w:pos="2880"/>
        </w:tabs>
        <w:ind w:left="2880" w:hanging="360"/>
      </w:pPr>
      <w:rPr>
        <w:rFonts w:ascii="Symbol" w:hAnsi="Symbol" w:hint="default"/>
      </w:rPr>
    </w:lvl>
    <w:lvl w:ilvl="4" w:tplc="CE30B62C" w:tentative="1">
      <w:start w:val="1"/>
      <w:numFmt w:val="bullet"/>
      <w:lvlText w:val=""/>
      <w:lvlJc w:val="left"/>
      <w:pPr>
        <w:tabs>
          <w:tab w:val="num" w:pos="3600"/>
        </w:tabs>
        <w:ind w:left="3600" w:hanging="360"/>
      </w:pPr>
      <w:rPr>
        <w:rFonts w:ascii="Symbol" w:hAnsi="Symbol" w:hint="default"/>
      </w:rPr>
    </w:lvl>
    <w:lvl w:ilvl="5" w:tplc="4A481422" w:tentative="1">
      <w:start w:val="1"/>
      <w:numFmt w:val="bullet"/>
      <w:lvlText w:val=""/>
      <w:lvlJc w:val="left"/>
      <w:pPr>
        <w:tabs>
          <w:tab w:val="num" w:pos="4320"/>
        </w:tabs>
        <w:ind w:left="4320" w:hanging="360"/>
      </w:pPr>
      <w:rPr>
        <w:rFonts w:ascii="Symbol" w:hAnsi="Symbol" w:hint="default"/>
      </w:rPr>
    </w:lvl>
    <w:lvl w:ilvl="6" w:tplc="E24285A8" w:tentative="1">
      <w:start w:val="1"/>
      <w:numFmt w:val="bullet"/>
      <w:lvlText w:val=""/>
      <w:lvlJc w:val="left"/>
      <w:pPr>
        <w:tabs>
          <w:tab w:val="num" w:pos="5040"/>
        </w:tabs>
        <w:ind w:left="5040" w:hanging="360"/>
      </w:pPr>
      <w:rPr>
        <w:rFonts w:ascii="Symbol" w:hAnsi="Symbol" w:hint="default"/>
      </w:rPr>
    </w:lvl>
    <w:lvl w:ilvl="7" w:tplc="1C82EA86" w:tentative="1">
      <w:start w:val="1"/>
      <w:numFmt w:val="bullet"/>
      <w:lvlText w:val=""/>
      <w:lvlJc w:val="left"/>
      <w:pPr>
        <w:tabs>
          <w:tab w:val="num" w:pos="5760"/>
        </w:tabs>
        <w:ind w:left="5760" w:hanging="360"/>
      </w:pPr>
      <w:rPr>
        <w:rFonts w:ascii="Symbol" w:hAnsi="Symbol" w:hint="default"/>
      </w:rPr>
    </w:lvl>
    <w:lvl w:ilvl="8" w:tplc="AE1858A4" w:tentative="1">
      <w:start w:val="1"/>
      <w:numFmt w:val="bullet"/>
      <w:lvlText w:val=""/>
      <w:lvlJc w:val="left"/>
      <w:pPr>
        <w:tabs>
          <w:tab w:val="num" w:pos="6480"/>
        </w:tabs>
        <w:ind w:left="6480" w:hanging="360"/>
      </w:pPr>
      <w:rPr>
        <w:rFonts w:ascii="Symbol" w:hAnsi="Symbol" w:hint="default"/>
      </w:rPr>
    </w:lvl>
  </w:abstractNum>
  <w:abstractNum w:abstractNumId="29">
    <w:nsid w:val="42FE4845"/>
    <w:multiLevelType w:val="hybridMultilevel"/>
    <w:tmpl w:val="CBECD402"/>
    <w:lvl w:ilvl="0" w:tplc="AC666150">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450A5EB5"/>
    <w:multiLevelType w:val="hybridMultilevel"/>
    <w:tmpl w:val="329CD39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4A178E8"/>
    <w:multiLevelType w:val="hybridMultilevel"/>
    <w:tmpl w:val="7F80F20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54FD37D2"/>
    <w:multiLevelType w:val="hybridMultilevel"/>
    <w:tmpl w:val="5FCC766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54FF785F"/>
    <w:multiLevelType w:val="hybridMultilevel"/>
    <w:tmpl w:val="59BC16B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55916EE7"/>
    <w:multiLevelType w:val="multilevel"/>
    <w:tmpl w:val="A494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8360E0"/>
    <w:multiLevelType w:val="hybridMultilevel"/>
    <w:tmpl w:val="93D614B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62BF1744"/>
    <w:multiLevelType w:val="hybridMultilevel"/>
    <w:tmpl w:val="77A0D1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1870596"/>
    <w:multiLevelType w:val="hybridMultilevel"/>
    <w:tmpl w:val="0ABE5F8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786927EC"/>
    <w:multiLevelType w:val="hybridMultilevel"/>
    <w:tmpl w:val="72B6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3"/>
  </w:num>
  <w:num w:numId="3">
    <w:abstractNumId w:val="28"/>
  </w:num>
  <w:num w:numId="4">
    <w:abstractNumId w:val="25"/>
  </w:num>
  <w:num w:numId="5">
    <w:abstractNumId w:val="19"/>
  </w:num>
  <w:num w:numId="6">
    <w:abstractNumId w:val="2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0"/>
  </w:num>
  <w:num w:numId="28">
    <w:abstractNumId w:val="26"/>
  </w:num>
  <w:num w:numId="29">
    <w:abstractNumId w:val="38"/>
  </w:num>
  <w:num w:numId="30">
    <w:abstractNumId w:val="31"/>
  </w:num>
  <w:num w:numId="31">
    <w:abstractNumId w:val="32"/>
  </w:num>
  <w:num w:numId="32">
    <w:abstractNumId w:val="34"/>
  </w:num>
  <w:num w:numId="33">
    <w:abstractNumId w:val="37"/>
  </w:num>
  <w:num w:numId="34">
    <w:abstractNumId w:val="36"/>
  </w:num>
  <w:num w:numId="35">
    <w:abstractNumId w:val="22"/>
  </w:num>
  <w:num w:numId="36">
    <w:abstractNumId w:val="30"/>
  </w:num>
  <w:num w:numId="37">
    <w:abstractNumId w:val="35"/>
  </w:num>
  <w:num w:numId="38">
    <w:abstractNumId w:val="2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92"/>
    <w:rsid w:val="00072403"/>
    <w:rsid w:val="001E2FEE"/>
    <w:rsid w:val="002B66FD"/>
    <w:rsid w:val="00374AE5"/>
    <w:rsid w:val="0045789A"/>
    <w:rsid w:val="004F4B61"/>
    <w:rsid w:val="00597A29"/>
    <w:rsid w:val="005B0271"/>
    <w:rsid w:val="006C0D5E"/>
    <w:rsid w:val="0073333D"/>
    <w:rsid w:val="008B7725"/>
    <w:rsid w:val="008E1702"/>
    <w:rsid w:val="00AF0922"/>
    <w:rsid w:val="00C76FCC"/>
    <w:rsid w:val="00E00DC3"/>
    <w:rsid w:val="00E13D20"/>
    <w:rsid w:val="00E549AA"/>
    <w:rsid w:val="00ED399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DDB187-A461-4AFA-9987-A25B6F9B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AE5"/>
    <w:pPr>
      <w:suppressAutoHyphens/>
      <w:spacing w:after="0" w:line="1" w:lineRule="atLeast"/>
      <w:ind w:left="-1"/>
    </w:pPr>
    <w:rPr>
      <w:rFonts w:ascii="Arial" w:eastAsia="Tahoma" w:hAnsi="Arial" w:cs="Noto Sans Devanagari"/>
      <w:position w:val="-10"/>
      <w:sz w:val="20"/>
      <w:szCs w:val="24"/>
      <w:lang w:val="ru-RU" w:eastAsia="hi-IN" w:bidi="hi-IN"/>
      <w14:ligatures w14:val="none"/>
    </w:rPr>
  </w:style>
  <w:style w:type="paragraph" w:styleId="Heading1">
    <w:name w:val="heading 1"/>
    <w:basedOn w:val="Normal"/>
    <w:next w:val="Normal"/>
    <w:link w:val="Heading1Char"/>
    <w:uiPriority w:val="9"/>
    <w:qFormat/>
    <w:rsid w:val="00374AE5"/>
    <w:pPr>
      <w:keepNext/>
      <w:keepLines/>
      <w:spacing w:before="240"/>
      <w:outlineLvl w:val="0"/>
    </w:pPr>
    <w:rPr>
      <w:rFonts w:ascii="Times New Roman" w:eastAsiaTheme="majorEastAsia" w:hAnsi="Times New Roman" w:cstheme="majorBidi"/>
      <w:b/>
      <w:position w:val="0"/>
      <w:sz w:val="24"/>
      <w:szCs w:val="32"/>
      <w:lang w:val="sr-Latn-RS" w:eastAsia="en-US" w:bidi="ar-SA"/>
      <w14:ligatures w14:val="standardContextual"/>
    </w:rPr>
  </w:style>
  <w:style w:type="paragraph" w:styleId="Heading2">
    <w:name w:val="heading 2"/>
    <w:basedOn w:val="Normal"/>
    <w:next w:val="Normal"/>
    <w:link w:val="Heading2Char"/>
    <w:uiPriority w:val="9"/>
    <w:unhideWhenUsed/>
    <w:qFormat/>
    <w:rsid w:val="004F4B61"/>
    <w:pPr>
      <w:keepNext/>
      <w:keepLines/>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E13D20"/>
    <w:pPr>
      <w:keepNext/>
      <w:keepLines/>
      <w:spacing w:before="40"/>
      <w:outlineLvl w:val="2"/>
    </w:pPr>
    <w:rPr>
      <w:rFonts w:asciiTheme="majorHAnsi" w:eastAsiaTheme="majorEastAsia" w:hAnsiTheme="majorHAnsi" w:cs="Mangal"/>
      <w:color w:val="1F4D78" w:themeColor="accent1" w:themeShade="7F"/>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74AE5"/>
    <w:pPr>
      <w:numPr>
        <w:ilvl w:val="1"/>
      </w:numPr>
      <w:spacing w:line="240" w:lineRule="auto"/>
      <w:ind w:left="-1"/>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4AE5"/>
    <w:rPr>
      <w:rFonts w:eastAsiaTheme="minorEastAsia"/>
      <w:color w:val="5A5A5A" w:themeColor="text1" w:themeTint="A5"/>
      <w:spacing w:val="15"/>
    </w:rPr>
  </w:style>
  <w:style w:type="paragraph" w:styleId="NoSpacing">
    <w:name w:val="No Spacing"/>
    <w:aliases w:val="Text"/>
    <w:next w:val="Normal"/>
    <w:qFormat/>
    <w:rsid w:val="00374AE5"/>
    <w:pPr>
      <w:spacing w:after="0" w:line="240" w:lineRule="auto"/>
    </w:pPr>
    <w:rPr>
      <w:rFonts w:ascii="Times New Roman" w:hAnsi="Times New Roman"/>
      <w:sz w:val="20"/>
    </w:rPr>
  </w:style>
  <w:style w:type="character" w:customStyle="1" w:styleId="Heading1Char">
    <w:name w:val="Heading 1 Char"/>
    <w:basedOn w:val="DefaultParagraphFont"/>
    <w:link w:val="Heading1"/>
    <w:uiPriority w:val="9"/>
    <w:rsid w:val="00374AE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F4B61"/>
    <w:rPr>
      <w:rFonts w:ascii="Times New Roman" w:eastAsiaTheme="majorEastAsia" w:hAnsi="Times New Roman" w:cstheme="majorBidi"/>
      <w:b/>
      <w:position w:val="-10"/>
      <w:sz w:val="20"/>
      <w:szCs w:val="26"/>
      <w:lang w:val="ru-RU" w:eastAsia="hi-IN" w:bidi="hi-IN"/>
      <w14:ligatures w14:val="none"/>
    </w:rPr>
  </w:style>
  <w:style w:type="paragraph" w:styleId="Title">
    <w:name w:val="Title"/>
    <w:basedOn w:val="Normal"/>
    <w:next w:val="Normal"/>
    <w:link w:val="TitleChar"/>
    <w:uiPriority w:val="10"/>
    <w:qFormat/>
    <w:rsid w:val="00374AE5"/>
    <w:pPr>
      <w:spacing w:line="240" w:lineRule="auto"/>
      <w:contextualSpacing/>
    </w:pPr>
    <w:rPr>
      <w:rFonts w:asciiTheme="majorHAnsi" w:eastAsiaTheme="majorEastAsia" w:hAnsiTheme="majorHAnsi" w:cs="Mangal"/>
      <w:spacing w:val="-10"/>
      <w:kern w:val="28"/>
      <w:sz w:val="56"/>
      <w:szCs w:val="50"/>
    </w:rPr>
  </w:style>
  <w:style w:type="character" w:customStyle="1" w:styleId="TitleChar">
    <w:name w:val="Title Char"/>
    <w:basedOn w:val="DefaultParagraphFont"/>
    <w:link w:val="Title"/>
    <w:uiPriority w:val="10"/>
    <w:rsid w:val="00374AE5"/>
    <w:rPr>
      <w:rFonts w:asciiTheme="majorHAnsi" w:eastAsiaTheme="majorEastAsia" w:hAnsiTheme="majorHAnsi" w:cs="Mangal"/>
      <w:spacing w:val="-10"/>
      <w:kern w:val="28"/>
      <w:position w:val="-10"/>
      <w:sz w:val="56"/>
      <w:szCs w:val="50"/>
      <w:lang w:val="ru-RU" w:eastAsia="hi-IN" w:bidi="hi-IN"/>
      <w14:ligatures w14:val="none"/>
    </w:rPr>
  </w:style>
  <w:style w:type="paragraph" w:styleId="Header">
    <w:name w:val="header"/>
    <w:basedOn w:val="Normal"/>
    <w:link w:val="HeaderChar"/>
    <w:uiPriority w:val="99"/>
    <w:unhideWhenUsed/>
    <w:rsid w:val="00374AE5"/>
    <w:pPr>
      <w:tabs>
        <w:tab w:val="center" w:pos="4536"/>
        <w:tab w:val="right" w:pos="9072"/>
      </w:tabs>
      <w:spacing w:line="240" w:lineRule="auto"/>
    </w:pPr>
    <w:rPr>
      <w:rFonts w:cs="Mangal"/>
    </w:rPr>
  </w:style>
  <w:style w:type="character" w:customStyle="1" w:styleId="HeaderChar">
    <w:name w:val="Header Char"/>
    <w:basedOn w:val="DefaultParagraphFont"/>
    <w:link w:val="Header"/>
    <w:uiPriority w:val="99"/>
    <w:rsid w:val="00374AE5"/>
    <w:rPr>
      <w:rFonts w:ascii="Arial" w:eastAsia="Tahoma" w:hAnsi="Arial" w:cs="Mangal"/>
      <w:position w:val="-10"/>
      <w:sz w:val="20"/>
      <w:szCs w:val="24"/>
      <w:lang w:val="ru-RU" w:eastAsia="hi-IN" w:bidi="hi-IN"/>
      <w14:ligatures w14:val="none"/>
    </w:rPr>
  </w:style>
  <w:style w:type="paragraph" w:styleId="Footer">
    <w:name w:val="footer"/>
    <w:basedOn w:val="Normal"/>
    <w:link w:val="FooterChar"/>
    <w:uiPriority w:val="99"/>
    <w:unhideWhenUsed/>
    <w:rsid w:val="00374AE5"/>
    <w:pPr>
      <w:tabs>
        <w:tab w:val="center" w:pos="4536"/>
        <w:tab w:val="right" w:pos="9072"/>
      </w:tabs>
      <w:spacing w:line="240" w:lineRule="auto"/>
    </w:pPr>
    <w:rPr>
      <w:rFonts w:cs="Mangal"/>
    </w:rPr>
  </w:style>
  <w:style w:type="character" w:customStyle="1" w:styleId="FooterChar">
    <w:name w:val="Footer Char"/>
    <w:basedOn w:val="DefaultParagraphFont"/>
    <w:link w:val="Footer"/>
    <w:uiPriority w:val="99"/>
    <w:rsid w:val="00374AE5"/>
    <w:rPr>
      <w:rFonts w:ascii="Arial" w:eastAsia="Tahoma" w:hAnsi="Arial" w:cs="Mangal"/>
      <w:position w:val="-10"/>
      <w:sz w:val="20"/>
      <w:szCs w:val="24"/>
      <w:lang w:val="ru-RU" w:eastAsia="hi-IN" w:bidi="hi-IN"/>
      <w14:ligatures w14:val="none"/>
    </w:rPr>
  </w:style>
  <w:style w:type="table" w:styleId="TableGrid">
    <w:name w:val="Table Grid"/>
    <w:basedOn w:val="TableNormal"/>
    <w:uiPriority w:val="39"/>
    <w:rsid w:val="00374AE5"/>
    <w:pPr>
      <w:spacing w:after="0" w:line="240" w:lineRule="auto"/>
    </w:pPr>
    <w:rPr>
      <w:rFonts w:eastAsia="Batang"/>
      <w:kern w:val="0"/>
      <w:sz w:val="24"/>
      <w:szCs w:val="24"/>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4AE5"/>
    <w:rPr>
      <w:color w:val="0563C1" w:themeColor="hyperlink"/>
      <w:u w:val="single"/>
    </w:rPr>
  </w:style>
  <w:style w:type="character" w:customStyle="1" w:styleId="Heading3Char">
    <w:name w:val="Heading 3 Char"/>
    <w:basedOn w:val="DefaultParagraphFont"/>
    <w:link w:val="Heading3"/>
    <w:uiPriority w:val="9"/>
    <w:rsid w:val="00E13D20"/>
    <w:rPr>
      <w:rFonts w:asciiTheme="majorHAnsi" w:eastAsiaTheme="majorEastAsia" w:hAnsiTheme="majorHAnsi" w:cs="Mangal"/>
      <w:color w:val="1F4D78" w:themeColor="accent1" w:themeShade="7F"/>
      <w:position w:val="-10"/>
      <w:sz w:val="24"/>
      <w:szCs w:val="21"/>
      <w:lang w:val="ru-RU" w:eastAsia="hi-IN" w:bidi="hi-IN"/>
      <w14:ligatures w14:val="none"/>
    </w:rPr>
  </w:style>
  <w:style w:type="paragraph" w:styleId="ListParagraph">
    <w:name w:val="List Paragraph"/>
    <w:basedOn w:val="Normal"/>
    <w:uiPriority w:val="34"/>
    <w:qFormat/>
    <w:rsid w:val="002B66FD"/>
    <w:pPr>
      <w:suppressAutoHyphens w:val="0"/>
      <w:spacing w:after="160" w:line="259" w:lineRule="auto"/>
      <w:ind w:left="720"/>
      <w:contextualSpacing/>
    </w:pPr>
    <w:rPr>
      <w:rFonts w:asciiTheme="minorHAnsi" w:eastAsiaTheme="minorHAnsi" w:hAnsiTheme="minorHAnsi" w:cstheme="minorBidi"/>
      <w:kern w:val="0"/>
      <w:position w:val="0"/>
      <w:sz w:val="22"/>
      <w:szCs w:val="22"/>
      <w:lang w:val="en-US" w:eastAsia="en-US" w:bidi="ar-SA"/>
    </w:rPr>
  </w:style>
  <w:style w:type="character" w:customStyle="1" w:styleId="ref-journal">
    <w:name w:val="ref-journal"/>
    <w:basedOn w:val="DefaultParagraphFont"/>
    <w:rsid w:val="002B66FD"/>
  </w:style>
  <w:style w:type="character" w:customStyle="1" w:styleId="ref-vol">
    <w:name w:val="ref-vol"/>
    <w:basedOn w:val="DefaultParagraphFont"/>
    <w:rsid w:val="002B66FD"/>
  </w:style>
  <w:style w:type="paragraph" w:styleId="NormalWeb">
    <w:name w:val="Normal (Web)"/>
    <w:basedOn w:val="Normal"/>
    <w:uiPriority w:val="99"/>
    <w:unhideWhenUsed/>
    <w:rsid w:val="00597A29"/>
    <w:pPr>
      <w:suppressAutoHyphens w:val="0"/>
      <w:spacing w:before="100" w:beforeAutospacing="1" w:after="100" w:afterAutospacing="1" w:line="240" w:lineRule="auto"/>
      <w:ind w:left="0"/>
    </w:pPr>
    <w:rPr>
      <w:rFonts w:ascii="Times New Roman" w:eastAsia="Times New Roman" w:hAnsi="Times New Roman" w:cs="Times New Roman"/>
      <w:kern w:val="0"/>
      <w:position w:val="0"/>
      <w:sz w:val="24"/>
      <w:lang w:eastAsia="ru-RU" w:bidi="ar-SA"/>
    </w:rPr>
  </w:style>
  <w:style w:type="character" w:styleId="PlaceholderText">
    <w:name w:val="Placeholder Text"/>
    <w:basedOn w:val="DefaultParagraphFont"/>
    <w:uiPriority w:val="99"/>
    <w:semiHidden/>
    <w:rsid w:val="00AF0922"/>
    <w:rPr>
      <w:color w:val="808080"/>
    </w:rPr>
  </w:style>
  <w:style w:type="character" w:styleId="Strong">
    <w:name w:val="Strong"/>
    <w:basedOn w:val="DefaultParagraphFont"/>
    <w:uiPriority w:val="22"/>
    <w:qFormat/>
    <w:rsid w:val="00AF0922"/>
    <w:rPr>
      <w:b/>
      <w:bCs/>
    </w:rPr>
  </w:style>
  <w:style w:type="table" w:customStyle="1" w:styleId="-511">
    <w:name w:val="Таблица-сетка 5 темная — акцент 11"/>
    <w:basedOn w:val="TableNormal"/>
    <w:uiPriority w:val="50"/>
    <w:rsid w:val="00AF0922"/>
    <w:pPr>
      <w:spacing w:after="0" w:line="240" w:lineRule="auto"/>
    </w:pPr>
    <w:rPr>
      <w:kern w:val="0"/>
      <w:sz w:val="24"/>
      <w:szCs w:val="24"/>
      <w:lang w:val="ru-RU"/>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58465">
      <w:bodyDiv w:val="1"/>
      <w:marLeft w:val="0"/>
      <w:marRight w:val="0"/>
      <w:marTop w:val="0"/>
      <w:marBottom w:val="0"/>
      <w:divBdr>
        <w:top w:val="none" w:sz="0" w:space="0" w:color="auto"/>
        <w:left w:val="none" w:sz="0" w:space="0" w:color="auto"/>
        <w:bottom w:val="none" w:sz="0" w:space="0" w:color="auto"/>
        <w:right w:val="none" w:sz="0" w:space="0" w:color="auto"/>
      </w:divBdr>
    </w:div>
    <w:div w:id="271086516">
      <w:bodyDiv w:val="1"/>
      <w:marLeft w:val="0"/>
      <w:marRight w:val="0"/>
      <w:marTop w:val="0"/>
      <w:marBottom w:val="0"/>
      <w:divBdr>
        <w:top w:val="none" w:sz="0" w:space="0" w:color="auto"/>
        <w:left w:val="none" w:sz="0" w:space="0" w:color="auto"/>
        <w:bottom w:val="none" w:sz="0" w:space="0" w:color="auto"/>
        <w:right w:val="none" w:sz="0" w:space="0" w:color="auto"/>
      </w:divBdr>
    </w:div>
    <w:div w:id="553542071">
      <w:bodyDiv w:val="1"/>
      <w:marLeft w:val="0"/>
      <w:marRight w:val="0"/>
      <w:marTop w:val="0"/>
      <w:marBottom w:val="0"/>
      <w:divBdr>
        <w:top w:val="none" w:sz="0" w:space="0" w:color="auto"/>
        <w:left w:val="none" w:sz="0" w:space="0" w:color="auto"/>
        <w:bottom w:val="none" w:sz="0" w:space="0" w:color="auto"/>
        <w:right w:val="none" w:sz="0" w:space="0" w:color="auto"/>
      </w:divBdr>
    </w:div>
    <w:div w:id="884872499">
      <w:bodyDiv w:val="1"/>
      <w:marLeft w:val="0"/>
      <w:marRight w:val="0"/>
      <w:marTop w:val="0"/>
      <w:marBottom w:val="0"/>
      <w:divBdr>
        <w:top w:val="none" w:sz="0" w:space="0" w:color="auto"/>
        <w:left w:val="none" w:sz="0" w:space="0" w:color="auto"/>
        <w:bottom w:val="none" w:sz="0" w:space="0" w:color="auto"/>
        <w:right w:val="none" w:sz="0" w:space="0" w:color="auto"/>
      </w:divBdr>
    </w:div>
    <w:div w:id="944577633">
      <w:bodyDiv w:val="1"/>
      <w:marLeft w:val="0"/>
      <w:marRight w:val="0"/>
      <w:marTop w:val="0"/>
      <w:marBottom w:val="0"/>
      <w:divBdr>
        <w:top w:val="none" w:sz="0" w:space="0" w:color="auto"/>
        <w:left w:val="none" w:sz="0" w:space="0" w:color="auto"/>
        <w:bottom w:val="none" w:sz="0" w:space="0" w:color="auto"/>
        <w:right w:val="none" w:sz="0" w:space="0" w:color="auto"/>
      </w:divBdr>
    </w:div>
    <w:div w:id="972905912">
      <w:bodyDiv w:val="1"/>
      <w:marLeft w:val="0"/>
      <w:marRight w:val="0"/>
      <w:marTop w:val="0"/>
      <w:marBottom w:val="0"/>
      <w:divBdr>
        <w:top w:val="none" w:sz="0" w:space="0" w:color="auto"/>
        <w:left w:val="none" w:sz="0" w:space="0" w:color="auto"/>
        <w:bottom w:val="none" w:sz="0" w:space="0" w:color="auto"/>
        <w:right w:val="none" w:sz="0" w:space="0" w:color="auto"/>
      </w:divBdr>
    </w:div>
    <w:div w:id="973754102">
      <w:bodyDiv w:val="1"/>
      <w:marLeft w:val="0"/>
      <w:marRight w:val="0"/>
      <w:marTop w:val="0"/>
      <w:marBottom w:val="0"/>
      <w:divBdr>
        <w:top w:val="none" w:sz="0" w:space="0" w:color="auto"/>
        <w:left w:val="none" w:sz="0" w:space="0" w:color="auto"/>
        <w:bottom w:val="none" w:sz="0" w:space="0" w:color="auto"/>
        <w:right w:val="none" w:sz="0" w:space="0" w:color="auto"/>
      </w:divBdr>
    </w:div>
    <w:div w:id="1169324978">
      <w:bodyDiv w:val="1"/>
      <w:marLeft w:val="0"/>
      <w:marRight w:val="0"/>
      <w:marTop w:val="0"/>
      <w:marBottom w:val="0"/>
      <w:divBdr>
        <w:top w:val="none" w:sz="0" w:space="0" w:color="auto"/>
        <w:left w:val="none" w:sz="0" w:space="0" w:color="auto"/>
        <w:bottom w:val="none" w:sz="0" w:space="0" w:color="auto"/>
        <w:right w:val="none" w:sz="0" w:space="0" w:color="auto"/>
      </w:divBdr>
    </w:div>
    <w:div w:id="1387535539">
      <w:bodyDiv w:val="1"/>
      <w:marLeft w:val="0"/>
      <w:marRight w:val="0"/>
      <w:marTop w:val="0"/>
      <w:marBottom w:val="0"/>
      <w:divBdr>
        <w:top w:val="none" w:sz="0" w:space="0" w:color="auto"/>
        <w:left w:val="none" w:sz="0" w:space="0" w:color="auto"/>
        <w:bottom w:val="none" w:sz="0" w:space="0" w:color="auto"/>
        <w:right w:val="none" w:sz="0" w:space="0" w:color="auto"/>
      </w:divBdr>
    </w:div>
    <w:div w:id="1411653443">
      <w:bodyDiv w:val="1"/>
      <w:marLeft w:val="0"/>
      <w:marRight w:val="0"/>
      <w:marTop w:val="0"/>
      <w:marBottom w:val="0"/>
      <w:divBdr>
        <w:top w:val="none" w:sz="0" w:space="0" w:color="auto"/>
        <w:left w:val="none" w:sz="0" w:space="0" w:color="auto"/>
        <w:bottom w:val="none" w:sz="0" w:space="0" w:color="auto"/>
        <w:right w:val="none" w:sz="0" w:space="0" w:color="auto"/>
      </w:divBdr>
    </w:div>
    <w:div w:id="1667131541">
      <w:bodyDiv w:val="1"/>
      <w:marLeft w:val="0"/>
      <w:marRight w:val="0"/>
      <w:marTop w:val="0"/>
      <w:marBottom w:val="0"/>
      <w:divBdr>
        <w:top w:val="none" w:sz="0" w:space="0" w:color="auto"/>
        <w:left w:val="none" w:sz="0" w:space="0" w:color="auto"/>
        <w:bottom w:val="none" w:sz="0" w:space="0" w:color="auto"/>
        <w:right w:val="none" w:sz="0" w:space="0" w:color="auto"/>
      </w:divBdr>
    </w:div>
    <w:div w:id="1736275864">
      <w:bodyDiv w:val="1"/>
      <w:marLeft w:val="0"/>
      <w:marRight w:val="0"/>
      <w:marTop w:val="0"/>
      <w:marBottom w:val="0"/>
      <w:divBdr>
        <w:top w:val="none" w:sz="0" w:space="0" w:color="auto"/>
        <w:left w:val="none" w:sz="0" w:space="0" w:color="auto"/>
        <w:bottom w:val="none" w:sz="0" w:space="0" w:color="auto"/>
        <w:right w:val="none" w:sz="0" w:space="0" w:color="auto"/>
      </w:divBdr>
    </w:div>
    <w:div w:id="1818649734">
      <w:bodyDiv w:val="1"/>
      <w:marLeft w:val="0"/>
      <w:marRight w:val="0"/>
      <w:marTop w:val="0"/>
      <w:marBottom w:val="0"/>
      <w:divBdr>
        <w:top w:val="none" w:sz="0" w:space="0" w:color="auto"/>
        <w:left w:val="none" w:sz="0" w:space="0" w:color="auto"/>
        <w:bottom w:val="none" w:sz="0" w:space="0" w:color="auto"/>
        <w:right w:val="none" w:sz="0" w:space="0" w:color="auto"/>
      </w:divBdr>
    </w:div>
    <w:div w:id="21449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Radicality of hemosiderin resection</a:t>
            </a:r>
            <a:endParaRPr lang="ru-RU"/>
          </a:p>
        </c:rich>
      </c:tx>
      <c:overlay val="0"/>
      <c:spPr>
        <a:noFill/>
        <a:ln>
          <a:noFill/>
        </a:ln>
        <a:effectLst/>
      </c:spPr>
    </c:title>
    <c:autoTitleDeleted val="0"/>
    <c:plotArea>
      <c:layout/>
      <c:barChart>
        <c:barDir val="col"/>
        <c:grouping val="stacked"/>
        <c:varyColors val="0"/>
        <c:ser>
          <c:idx val="0"/>
          <c:order val="0"/>
          <c:tx>
            <c:strRef>
              <c:f>Лист1!$B$1</c:f>
              <c:strCache>
                <c:ptCount val="1"/>
                <c:pt idx="0">
                  <c:v>hemosiderin radically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Engel 1</c:v>
                </c:pt>
                <c:pt idx="1">
                  <c:v>Engel 2-4</c:v>
                </c:pt>
              </c:strCache>
            </c:strRef>
          </c:cat>
          <c:val>
            <c:numRef>
              <c:f>Лист1!$B$2:$B$3</c:f>
              <c:numCache>
                <c:formatCode>General</c:formatCode>
                <c:ptCount val="2"/>
                <c:pt idx="0">
                  <c:v>27</c:v>
                </c:pt>
                <c:pt idx="1">
                  <c:v>1</c:v>
                </c:pt>
              </c:numCache>
            </c:numRef>
          </c:val>
          <c:extLst xmlns:c16r2="http://schemas.microsoft.com/office/drawing/2015/06/chart">
            <c:ext xmlns:c16="http://schemas.microsoft.com/office/drawing/2014/chart" uri="{C3380CC4-5D6E-409C-BE32-E72D297353CC}">
              <c16:uniqueId val="{00000000-6507-8241-83D2-3A6A30FB9020}"/>
            </c:ext>
          </c:extLst>
        </c:ser>
        <c:ser>
          <c:idx val="1"/>
          <c:order val="1"/>
          <c:tx>
            <c:strRef>
              <c:f>Лист1!$C$1</c:f>
              <c:strCache>
                <c:ptCount val="1"/>
                <c:pt idx="0">
                  <c:v>hemosiderin non-radically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Engel 1</c:v>
                </c:pt>
                <c:pt idx="1">
                  <c:v>Engel 2-4</c:v>
                </c:pt>
              </c:strCache>
            </c:strRef>
          </c:cat>
          <c:val>
            <c:numRef>
              <c:f>Лист1!$C$2:$C$3</c:f>
              <c:numCache>
                <c:formatCode>General</c:formatCode>
                <c:ptCount val="2"/>
                <c:pt idx="0">
                  <c:v>11</c:v>
                </c:pt>
                <c:pt idx="1">
                  <c:v>4</c:v>
                </c:pt>
              </c:numCache>
            </c:numRef>
          </c:val>
          <c:extLst xmlns:c16r2="http://schemas.microsoft.com/office/drawing/2015/06/chart">
            <c:ext xmlns:c16="http://schemas.microsoft.com/office/drawing/2014/chart" uri="{C3380CC4-5D6E-409C-BE32-E72D297353CC}">
              <c16:uniqueId val="{00000001-6507-8241-83D2-3A6A30FB9020}"/>
            </c:ext>
          </c:extLst>
        </c:ser>
        <c:dLbls>
          <c:showLegendKey val="0"/>
          <c:showVal val="1"/>
          <c:showCatName val="0"/>
          <c:showSerName val="0"/>
          <c:showPercent val="0"/>
          <c:showBubbleSize val="0"/>
        </c:dLbls>
        <c:gapWidth val="150"/>
        <c:overlap val="100"/>
        <c:axId val="525789344"/>
        <c:axId val="525789736"/>
      </c:barChart>
      <c:catAx>
        <c:axId val="52578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5789736"/>
        <c:crosses val="autoZero"/>
        <c:auto val="1"/>
        <c:lblAlgn val="ctr"/>
        <c:lblOffset val="100"/>
        <c:noMultiLvlLbl val="0"/>
      </c:catAx>
      <c:valAx>
        <c:axId val="525789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5789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Martinović</dc:creator>
  <cp:keywords/>
  <dc:description/>
  <cp:lastModifiedBy>Jelena Martinović</cp:lastModifiedBy>
  <cp:revision>5</cp:revision>
  <dcterms:created xsi:type="dcterms:W3CDTF">2025-11-26T12:50:00Z</dcterms:created>
  <dcterms:modified xsi:type="dcterms:W3CDTF">2025-11-26T15:34:00Z</dcterms:modified>
</cp:coreProperties>
</file>